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3F66C8" w14:textId="77777777" w:rsidR="002A0B8A" w:rsidRDefault="002A0B8A" w:rsidP="002A0B8A">
      <w:bookmarkStart w:id="0" w:name="_GoBack"/>
      <w:bookmarkEnd w:id="0"/>
    </w:p>
    <w:p w14:paraId="0E9196BD" w14:textId="6F527A1C" w:rsidR="00FA4509" w:rsidRPr="00C6285D" w:rsidRDefault="00FA4509" w:rsidP="00FA4509">
      <w:pPr>
        <w:ind w:left="-357" w:right="-357"/>
        <w:jc w:val="right"/>
        <w:rPr>
          <w:rFonts w:ascii="Calibri" w:hAnsi="Calibri"/>
          <w:color w:val="024182"/>
          <w:sz w:val="16"/>
        </w:rPr>
      </w:pPr>
      <w:r w:rsidRPr="00C6285D">
        <w:rPr>
          <w:b/>
          <w:color w:val="024182"/>
        </w:rPr>
        <w:t xml:space="preserve">PRIJEDLOG ZA </w:t>
      </w:r>
      <w:r w:rsidR="000B1440">
        <w:rPr>
          <w:b/>
          <w:color w:val="024182"/>
        </w:rPr>
        <w:t>JAVNO SAVJETOVANJE</w:t>
      </w:r>
    </w:p>
    <w:p w14:paraId="6586C1DF" w14:textId="48F0ADE0" w:rsidR="00FA4509" w:rsidRDefault="00FA4509" w:rsidP="002A0B8A"/>
    <w:p w14:paraId="544B3B4C" w14:textId="69393D45" w:rsidR="00FA4509" w:rsidRDefault="00FA4509" w:rsidP="002A0B8A"/>
    <w:p w14:paraId="53F07AB9" w14:textId="77777777" w:rsidR="00FA4509" w:rsidRDefault="00FA4509" w:rsidP="002A0B8A"/>
    <w:p w14:paraId="05BCAF6D" w14:textId="77777777" w:rsidR="00BD3718" w:rsidRPr="00BD3718" w:rsidRDefault="00BD3718" w:rsidP="00BD3718">
      <w:pPr>
        <w:contextualSpacing/>
      </w:pPr>
      <w:r w:rsidRPr="00BD3718">
        <w:t>KLASA: UP/I-344-01/26-08/01</w:t>
      </w:r>
    </w:p>
    <w:p w14:paraId="32A2A95B" w14:textId="5789628A" w:rsidR="00BD3718" w:rsidRPr="00BD3718" w:rsidRDefault="009E4A0D" w:rsidP="00BD3718">
      <w:pPr>
        <w:contextualSpacing/>
      </w:pPr>
      <w:r>
        <w:t>URBROJ: 376-05-1-26-06</w:t>
      </w:r>
    </w:p>
    <w:p w14:paraId="2547D7A7" w14:textId="1FFF365C" w:rsidR="00BD3718" w:rsidRPr="00BD3718" w:rsidRDefault="00A17819" w:rsidP="00BD3718">
      <w:pPr>
        <w:contextualSpacing/>
      </w:pPr>
      <w:r>
        <w:t>Zagreb, 18. lipnja</w:t>
      </w:r>
      <w:r w:rsidR="00BD3718" w:rsidRPr="00BD3718">
        <w:t xml:space="preserve"> 2026.</w:t>
      </w:r>
    </w:p>
    <w:p w14:paraId="5028EFE4" w14:textId="38333FA8" w:rsidR="00BD3718" w:rsidRPr="00BD3718" w:rsidRDefault="00B558A1" w:rsidP="00B558A1">
      <w:pPr>
        <w:tabs>
          <w:tab w:val="left" w:pos="3480"/>
        </w:tabs>
        <w:jc w:val="both"/>
      </w:pPr>
      <w:r>
        <w:tab/>
      </w:r>
    </w:p>
    <w:p w14:paraId="4D87EFF2" w14:textId="77777777" w:rsidR="00BD3718" w:rsidRPr="00BD3718" w:rsidRDefault="00BD3718" w:rsidP="00BD3718">
      <w:pPr>
        <w:jc w:val="both"/>
      </w:pPr>
    </w:p>
    <w:p w14:paraId="730CE2E3" w14:textId="13D2FC04" w:rsidR="00BD3718" w:rsidRPr="00BD3718" w:rsidRDefault="00BD3718" w:rsidP="00BD3718">
      <w:pPr>
        <w:jc w:val="both"/>
      </w:pPr>
      <w:r w:rsidRPr="00631A79">
        <w:t xml:space="preserve">Na temelju članka 16. stavka 1. točke 4. i članaka 116. stavka </w:t>
      </w:r>
      <w:r w:rsidR="00B86A25" w:rsidRPr="00631A79">
        <w:t>8</w:t>
      </w:r>
      <w:r w:rsidRPr="00631A79">
        <w:t xml:space="preserve">. </w:t>
      </w:r>
      <w:r w:rsidR="00B86A25" w:rsidRPr="00631A79">
        <w:t>točke 2.</w:t>
      </w:r>
      <w:r w:rsidRPr="00631A79">
        <w:t xml:space="preserve"> Zakona o elektroničkim komunikacijama (NN br. 76/22, 14/24 i 45/26), u postupku ocjene koncentracije operatora Hrvatski Telekom d.d., Radnička cesta 21, Zagreb, OIB: 81793146560 i Pro Ping d.o.o., Augusta Šenoe</w:t>
      </w:r>
      <w:r w:rsidRPr="00BD3718">
        <w:t xml:space="preserve"> 4, Pitomača, OIB: 37524271023, Vijeće Hrvatske regulatorne agencije za mrežne djelatnosti, je </w:t>
      </w:r>
      <w:r w:rsidR="00A17819">
        <w:t>na sjednici održanoj 18. lipnja</w:t>
      </w:r>
      <w:r w:rsidRPr="00BD3718">
        <w:t xml:space="preserve"> 2026. donijelo</w:t>
      </w:r>
    </w:p>
    <w:p w14:paraId="42A8E4CE" w14:textId="77777777" w:rsidR="00662713" w:rsidRPr="00BD3718" w:rsidRDefault="00662713" w:rsidP="00BD3718">
      <w:pPr>
        <w:rPr>
          <w:b/>
          <w:color w:val="000000"/>
        </w:rPr>
      </w:pPr>
    </w:p>
    <w:p w14:paraId="6CD88BB5" w14:textId="77777777" w:rsidR="00BD3718" w:rsidRPr="00BD3718" w:rsidRDefault="00BD3718" w:rsidP="00BD3718">
      <w:pPr>
        <w:jc w:val="center"/>
        <w:rPr>
          <w:b/>
          <w:color w:val="000000"/>
        </w:rPr>
      </w:pPr>
    </w:p>
    <w:p w14:paraId="4A74A1BA" w14:textId="5B422C78" w:rsidR="00BD3718" w:rsidRPr="00BD3718" w:rsidRDefault="008E01DF" w:rsidP="00BD3718">
      <w:pPr>
        <w:jc w:val="center"/>
        <w:rPr>
          <w:b/>
          <w:color w:val="000000"/>
        </w:rPr>
      </w:pPr>
      <w:r>
        <w:rPr>
          <w:b/>
          <w:color w:val="000000"/>
        </w:rPr>
        <w:t>RJEŠENJE</w:t>
      </w:r>
    </w:p>
    <w:p w14:paraId="1590988C" w14:textId="77777777" w:rsidR="00662713" w:rsidRPr="00BD3718" w:rsidRDefault="00662713" w:rsidP="00532BB9">
      <w:pPr>
        <w:rPr>
          <w:b/>
          <w:color w:val="000000"/>
        </w:rPr>
      </w:pPr>
    </w:p>
    <w:p w14:paraId="36B88A31" w14:textId="77777777" w:rsidR="00BD3718" w:rsidRPr="00BD3718" w:rsidRDefault="00BD3718" w:rsidP="00BD3718">
      <w:pPr>
        <w:spacing w:line="276" w:lineRule="auto"/>
        <w:contextualSpacing/>
        <w:rPr>
          <w:sz w:val="20"/>
          <w:szCs w:val="20"/>
        </w:rPr>
      </w:pPr>
    </w:p>
    <w:p w14:paraId="4469D876" w14:textId="05E81428" w:rsidR="00A17819" w:rsidRPr="00E5651F" w:rsidRDefault="00A17819" w:rsidP="00A17819">
      <w:pPr>
        <w:spacing w:line="276" w:lineRule="auto"/>
        <w:ind w:left="708" w:hanging="708"/>
        <w:contextualSpacing/>
        <w:jc w:val="both"/>
      </w:pPr>
      <w:r>
        <w:lastRenderedPageBreak/>
        <w:t>I</w:t>
      </w:r>
      <w:r w:rsidRPr="00E5651F">
        <w:t>.</w:t>
      </w:r>
      <w:r w:rsidRPr="00E5651F">
        <w:tab/>
        <w:t>Ocjenjuje se uvjetno dopuštenom koncentracija koja nastaje stjecanjem</w:t>
      </w:r>
      <w:r w:rsidR="007A7DC5">
        <w:t xml:space="preserve"> izravne</w:t>
      </w:r>
      <w:r w:rsidRPr="00E5651F">
        <w:t xml:space="preserve"> kontrole poduzetnika Hrvatski Telekom d.d. nad poduzetnikom Pro Ping d.o.o. </w:t>
      </w:r>
    </w:p>
    <w:p w14:paraId="2BA20295" w14:textId="77777777" w:rsidR="00A17819" w:rsidRPr="00E5651F" w:rsidRDefault="00A17819" w:rsidP="00A17819">
      <w:pPr>
        <w:spacing w:line="276" w:lineRule="auto"/>
        <w:contextualSpacing/>
        <w:jc w:val="both"/>
      </w:pPr>
    </w:p>
    <w:p w14:paraId="64F6676C" w14:textId="145E11C0" w:rsidR="00A17819" w:rsidRPr="00E5651F" w:rsidRDefault="00A17819" w:rsidP="00A17819">
      <w:pPr>
        <w:ind w:left="708" w:hanging="708"/>
        <w:jc w:val="both"/>
      </w:pPr>
      <w:r w:rsidRPr="00E5651F">
        <w:t>II.</w:t>
      </w:r>
      <w:r w:rsidRPr="00E5651F">
        <w:tab/>
      </w:r>
      <w:r w:rsidR="00D01AAA" w:rsidRPr="00064633">
        <w:t>Određuju</w:t>
      </w:r>
      <w:r w:rsidRPr="00064633">
        <w:t xml:space="preserve"> se</w:t>
      </w:r>
      <w:r w:rsidRPr="00E5651F">
        <w:t xml:space="preserve"> sljedeće mjere</w:t>
      </w:r>
      <w:r w:rsidR="007A7DC5">
        <w:t>, uvjeti i rokovi</w:t>
      </w:r>
      <w:r w:rsidRPr="00E5651F">
        <w:t xml:space="preserve"> koje su sudionici koncentracije dužni ispuniti kako bi se otklonili negativni učinci koncentracije iz točke I. izreke:</w:t>
      </w:r>
    </w:p>
    <w:p w14:paraId="3316C56F" w14:textId="77777777" w:rsidR="00A17819" w:rsidRPr="00E5651F" w:rsidRDefault="00A17819" w:rsidP="00BD3718">
      <w:pPr>
        <w:jc w:val="both"/>
      </w:pPr>
    </w:p>
    <w:p w14:paraId="12572589" w14:textId="5FAEC022" w:rsidR="002B3A65" w:rsidRPr="008453B0" w:rsidRDefault="002B3A65" w:rsidP="002B3A65">
      <w:pPr>
        <w:pStyle w:val="ListParagraph"/>
        <w:numPr>
          <w:ilvl w:val="0"/>
          <w:numId w:val="27"/>
        </w:numPr>
        <w:jc w:val="both"/>
      </w:pPr>
      <w:r>
        <w:t>Hrvatski Telekom d.d. obvezan je</w:t>
      </w:r>
      <w:r w:rsidRPr="008453B0">
        <w:t xml:space="preserve"> </w:t>
      </w:r>
      <w:r w:rsidR="00BE7450">
        <w:t xml:space="preserve">primjenjivati </w:t>
      </w:r>
      <w:r w:rsidR="00BE7450" w:rsidRPr="008453B0">
        <w:t>sljedeće obveze</w:t>
      </w:r>
      <w:r w:rsidR="00BE7450">
        <w:t xml:space="preserve"> </w:t>
      </w:r>
      <w:r>
        <w:t>na</w:t>
      </w:r>
      <w:r w:rsidRPr="00186687">
        <w:t xml:space="preserve"> geografskim jedinicama </w:t>
      </w:r>
      <w:r>
        <w:t xml:space="preserve">navedenima u Privitku 1 </w:t>
      </w:r>
      <w:r w:rsidR="009509FC" w:rsidRPr="00D00879">
        <w:t>ovog rješenja</w:t>
      </w:r>
      <w:r w:rsidRPr="008453B0">
        <w:t xml:space="preserve">: </w:t>
      </w:r>
    </w:p>
    <w:p w14:paraId="6CA87DD0" w14:textId="44CE3D5E" w:rsidR="00186687" w:rsidRPr="008453B0" w:rsidRDefault="00E171C6" w:rsidP="000E4A20">
      <w:pPr>
        <w:numPr>
          <w:ilvl w:val="1"/>
          <w:numId w:val="27"/>
        </w:numPr>
        <w:contextualSpacing/>
        <w:jc w:val="both"/>
      </w:pPr>
      <w:r>
        <w:t>obvezu</w:t>
      </w:r>
      <w:r w:rsidR="00186687" w:rsidRPr="008453B0">
        <w:t xml:space="preserve"> pristupa i korištenja posebnih mrežnih sastavnica i povezane opreme</w:t>
      </w:r>
      <w:r w:rsidR="00DF1A17">
        <w:t>,</w:t>
      </w:r>
      <w:r w:rsidR="00186687" w:rsidRPr="008453B0">
        <w:t xml:space="preserve"> </w:t>
      </w:r>
    </w:p>
    <w:p w14:paraId="16EF851C" w14:textId="27FE6E37" w:rsidR="00186687" w:rsidRPr="008453B0" w:rsidRDefault="00E171C6" w:rsidP="000E4A20">
      <w:pPr>
        <w:numPr>
          <w:ilvl w:val="1"/>
          <w:numId w:val="27"/>
        </w:numPr>
        <w:contextualSpacing/>
        <w:jc w:val="both"/>
      </w:pPr>
      <w:r>
        <w:t>obvezu</w:t>
      </w:r>
      <w:r w:rsidR="00186687" w:rsidRPr="008453B0">
        <w:t xml:space="preserve"> nediskriminacije</w:t>
      </w:r>
      <w:r w:rsidR="00DF1A17">
        <w:t>,</w:t>
      </w:r>
      <w:r w:rsidR="00186687" w:rsidRPr="008453B0">
        <w:t xml:space="preserve"> </w:t>
      </w:r>
    </w:p>
    <w:p w14:paraId="7DD2300D" w14:textId="04E457F8" w:rsidR="00186687" w:rsidRPr="008453B0" w:rsidRDefault="00E171C6" w:rsidP="000E4A20">
      <w:pPr>
        <w:numPr>
          <w:ilvl w:val="1"/>
          <w:numId w:val="27"/>
        </w:numPr>
        <w:contextualSpacing/>
        <w:jc w:val="both"/>
      </w:pPr>
      <w:r>
        <w:t>obvezu</w:t>
      </w:r>
      <w:r w:rsidR="00186687" w:rsidRPr="008453B0">
        <w:t xml:space="preserve"> transparentnosti uz obvezu objave standardne ponude</w:t>
      </w:r>
      <w:r w:rsidR="00DF1A17">
        <w:t>,</w:t>
      </w:r>
    </w:p>
    <w:p w14:paraId="038A5B5C" w14:textId="6C5FB503" w:rsidR="00186687" w:rsidRPr="008453B0" w:rsidRDefault="00E171C6" w:rsidP="000E4A20">
      <w:pPr>
        <w:numPr>
          <w:ilvl w:val="1"/>
          <w:numId w:val="27"/>
        </w:numPr>
        <w:contextualSpacing/>
        <w:jc w:val="both"/>
      </w:pPr>
      <w:r>
        <w:t>obvezu</w:t>
      </w:r>
      <w:r w:rsidR="00186687" w:rsidRPr="008453B0">
        <w:t xml:space="preserve"> nadzora cijena i vođenja troškovnog </w:t>
      </w:r>
      <w:r>
        <w:t>računovodstva</w:t>
      </w:r>
      <w:r w:rsidR="00DF1A17">
        <w:t>,</w:t>
      </w:r>
    </w:p>
    <w:p w14:paraId="6DDF9CFB" w14:textId="2421286A" w:rsidR="00186687" w:rsidRPr="008453B0" w:rsidRDefault="00E171C6" w:rsidP="000E4A20">
      <w:pPr>
        <w:numPr>
          <w:ilvl w:val="1"/>
          <w:numId w:val="27"/>
        </w:numPr>
        <w:contextualSpacing/>
        <w:jc w:val="both"/>
      </w:pPr>
      <w:r>
        <w:t>obvezu</w:t>
      </w:r>
      <w:r w:rsidR="00186687">
        <w:t xml:space="preserve"> računovodstvenog razdvajanja</w:t>
      </w:r>
      <w:r>
        <w:t>,</w:t>
      </w:r>
    </w:p>
    <w:p w14:paraId="2765D511" w14:textId="7CA4ECD5" w:rsidR="00186687" w:rsidRDefault="00186687" w:rsidP="00EC17B0">
      <w:pPr>
        <w:pStyle w:val="ListParagraph"/>
        <w:jc w:val="both"/>
      </w:pPr>
      <w:r w:rsidRPr="00BB4244">
        <w:t>na način</w:t>
      </w:r>
      <w:r w:rsidR="00DF1A17" w:rsidRPr="00BB4244">
        <w:t xml:space="preserve">, pod </w:t>
      </w:r>
      <w:r w:rsidRPr="00BB4244">
        <w:t>uvjetima i</w:t>
      </w:r>
      <w:r w:rsidR="00DF1A17" w:rsidRPr="00BB4244">
        <w:t xml:space="preserve"> u</w:t>
      </w:r>
      <w:r w:rsidRPr="00334D1D">
        <w:t xml:space="preserve"> rokovima </w:t>
      </w:r>
      <w:r w:rsidR="00DF1A17" w:rsidRPr="00334D1D">
        <w:t>utvrđenima</w:t>
      </w:r>
      <w:r w:rsidRPr="00334D1D">
        <w:t xml:space="preserve"> dokumentom </w:t>
      </w:r>
      <w:r w:rsidRPr="00EC17B0">
        <w:rPr>
          <w:i/>
        </w:rPr>
        <w:t>„Analiza tržišta veleprodajnog središnjeg pristupa koji se pruža na fiksnoj lokaciji za proizvode za masovno tržište“</w:t>
      </w:r>
      <w:r w:rsidR="00DF1A17" w:rsidRPr="00334D1D">
        <w:t>,</w:t>
      </w:r>
      <w:r w:rsidR="00E171C6" w:rsidRPr="00EC17B0">
        <w:rPr>
          <w:i/>
        </w:rPr>
        <w:t xml:space="preserve"> </w:t>
      </w:r>
      <w:r w:rsidR="00E171C6" w:rsidRPr="00360591">
        <w:t xml:space="preserve">koji je sastavni dio odluke </w:t>
      </w:r>
      <w:r w:rsidR="00334D1D" w:rsidRPr="00BD3718">
        <w:t>Vijeć</w:t>
      </w:r>
      <w:r w:rsidR="00360591">
        <w:t xml:space="preserve">a </w:t>
      </w:r>
      <w:r w:rsidR="00334D1D" w:rsidRPr="00BD3718">
        <w:t>Hrvatske regulatorne agencije za mrežne djelatnosti</w:t>
      </w:r>
      <w:r w:rsidR="00334D1D" w:rsidRPr="00334D1D">
        <w:t xml:space="preserve"> </w:t>
      </w:r>
      <w:r w:rsidR="00334D1D">
        <w:t xml:space="preserve">od 27. srpnja 2023. </w:t>
      </w:r>
      <w:r w:rsidR="00E171C6" w:rsidRPr="00334D1D">
        <w:t>(</w:t>
      </w:r>
      <w:r w:rsidR="00BB4244" w:rsidRPr="00334D1D">
        <w:t>KLASA: UP/I-344-01/22-03/03, URBROJ: 376-05-1-23-26</w:t>
      </w:r>
      <w:r w:rsidR="00E171C6" w:rsidRPr="00334D1D">
        <w:t xml:space="preserve">) </w:t>
      </w:r>
      <w:r w:rsidRPr="00334D1D">
        <w:t xml:space="preserve">i dokumentom </w:t>
      </w:r>
      <w:r w:rsidR="00E171C6" w:rsidRPr="00EC17B0">
        <w:rPr>
          <w:i/>
        </w:rPr>
        <w:t>„Analiza tržišta veleprodajnog lokalnog pristupa koji se pruža na fiksnoj lokaciji“</w:t>
      </w:r>
      <w:r w:rsidR="00DF1A17" w:rsidRPr="00334D1D">
        <w:t>,</w:t>
      </w:r>
      <w:r w:rsidR="00E171C6" w:rsidRPr="00334D1D">
        <w:t xml:space="preserve"> koji je sastavni dio odluke </w:t>
      </w:r>
      <w:r w:rsidR="00334D1D" w:rsidRPr="00BD3718">
        <w:t>Vijeć</w:t>
      </w:r>
      <w:r w:rsidR="00360591">
        <w:t>a</w:t>
      </w:r>
      <w:r w:rsidR="00334D1D" w:rsidRPr="00BD3718">
        <w:t xml:space="preserve"> Hrvatske regulatorne agencije za mrežne djelatnosti</w:t>
      </w:r>
      <w:r w:rsidR="00334D1D" w:rsidRPr="00334D1D">
        <w:t xml:space="preserve"> </w:t>
      </w:r>
      <w:r w:rsidR="00334D1D">
        <w:t xml:space="preserve">od 27. srpnja 2023. </w:t>
      </w:r>
      <w:r w:rsidR="00E171C6" w:rsidRPr="00334D1D">
        <w:t>(</w:t>
      </w:r>
      <w:r w:rsidR="00BB4244" w:rsidRPr="00334D1D">
        <w:t>KLASA: UP/I-344-01/22-03/04, URBROJ: 376-05-1-23-41</w:t>
      </w:r>
      <w:r w:rsidR="00E171C6" w:rsidRPr="00334D1D">
        <w:t>).</w:t>
      </w:r>
      <w:r w:rsidR="00402CAC" w:rsidRPr="00402CAC">
        <w:t xml:space="preserve"> Navedene obveze primjenjuju se </w:t>
      </w:r>
      <w:r w:rsidR="00402CAC">
        <w:t xml:space="preserve">i </w:t>
      </w:r>
      <w:r w:rsidR="00A83D7E" w:rsidRPr="00A83D7E">
        <w:t>na društvo Pro Ping d.o.o. nakon zaključenja transakcije, odnosno preuzimanja poslovnog udjela od strane Hrvatskog Telekoma d.d.</w:t>
      </w:r>
    </w:p>
    <w:p w14:paraId="2B173849" w14:textId="07A9E21A" w:rsidR="00D75432" w:rsidRDefault="00D75432" w:rsidP="00EC17B0">
      <w:pPr>
        <w:pStyle w:val="ListParagraph"/>
        <w:jc w:val="both"/>
      </w:pPr>
    </w:p>
    <w:p w14:paraId="35B3001F" w14:textId="3BB79E18" w:rsidR="00D75432" w:rsidRPr="008453B0" w:rsidRDefault="00D75432" w:rsidP="001252B1">
      <w:pPr>
        <w:pStyle w:val="ListParagraph"/>
        <w:numPr>
          <w:ilvl w:val="0"/>
          <w:numId w:val="27"/>
        </w:numPr>
        <w:jc w:val="both"/>
      </w:pPr>
      <w:r>
        <w:t xml:space="preserve">Hrvatski Telekom d.d. obvezan je </w:t>
      </w:r>
      <w:r w:rsidR="00BA4AF6" w:rsidRPr="00BA4AF6">
        <w:t xml:space="preserve">nakon zaključenja transakcije, odnosno preuzimanja poslovnog udjela </w:t>
      </w:r>
      <w:r w:rsidR="00AB4D99">
        <w:t xml:space="preserve">društva Pro Ping d.o.o., </w:t>
      </w:r>
      <w:r w:rsidRPr="00D75432">
        <w:t xml:space="preserve">primjenjivati </w:t>
      </w:r>
      <w:r w:rsidR="00AB4D99">
        <w:t xml:space="preserve">i </w:t>
      </w:r>
      <w:r w:rsidR="00AB4D99" w:rsidRPr="00D75432">
        <w:t xml:space="preserve">u odnosu na </w:t>
      </w:r>
      <w:r w:rsidR="00AB4D99">
        <w:t>društvo</w:t>
      </w:r>
      <w:r w:rsidR="00AB4D99" w:rsidRPr="00D75432">
        <w:t xml:space="preserve"> Pro Ping d.o.o</w:t>
      </w:r>
      <w:r w:rsidR="00AB4D99">
        <w:t xml:space="preserve">. </w:t>
      </w:r>
      <w:r w:rsidRPr="00D75432">
        <w:t xml:space="preserve">obveze koje su mu </w:t>
      </w:r>
      <w:r w:rsidR="00646E76">
        <w:t xml:space="preserve">već </w:t>
      </w:r>
      <w:r w:rsidRPr="00D75432">
        <w:t>određene na nekonkurentnim područjima</w:t>
      </w:r>
      <w:r>
        <w:t xml:space="preserve"> na</w:t>
      </w:r>
      <w:r w:rsidRPr="00186687">
        <w:t xml:space="preserve"> geografskim jedinicama </w:t>
      </w:r>
      <w:r>
        <w:t xml:space="preserve">navedenima u Privitku </w:t>
      </w:r>
      <w:r w:rsidR="009509FC">
        <w:t xml:space="preserve">1 odluke </w:t>
      </w:r>
      <w:r w:rsidR="009509FC" w:rsidRPr="00BD3718">
        <w:t>Vijeć</w:t>
      </w:r>
      <w:r w:rsidR="009509FC">
        <w:t xml:space="preserve">a </w:t>
      </w:r>
      <w:r w:rsidR="009509FC" w:rsidRPr="00BD3718">
        <w:t>Hrvatske regulatorne agencije za mrežne djelatnosti</w:t>
      </w:r>
      <w:r w:rsidR="009509FC">
        <w:t xml:space="preserve"> od 18. prosinca 2025. (KLASA: UP/I-344-01/25-03/02, URBROJ: </w:t>
      </w:r>
      <w:r w:rsidR="009509FC" w:rsidRPr="00C74560">
        <w:t>376-05-1-25-</w:t>
      </w:r>
      <w:r w:rsidR="009509FC">
        <w:t>07)</w:t>
      </w:r>
      <w:r w:rsidR="009509FC" w:rsidRPr="00D75432">
        <w:t xml:space="preserve"> </w:t>
      </w:r>
      <w:r w:rsidR="009509FC">
        <w:t xml:space="preserve">i </w:t>
      </w:r>
      <w:r>
        <w:t xml:space="preserve">Privitku </w:t>
      </w:r>
      <w:r w:rsidR="009509FC">
        <w:t xml:space="preserve">1 odluke </w:t>
      </w:r>
      <w:r w:rsidR="009509FC" w:rsidRPr="00BD3718">
        <w:t>Vijeć</w:t>
      </w:r>
      <w:r w:rsidR="009509FC">
        <w:t xml:space="preserve">a </w:t>
      </w:r>
      <w:r w:rsidR="009509FC" w:rsidRPr="00BD3718">
        <w:t>Hrvatske regulatorne agencije za mrežne djelatnosti</w:t>
      </w:r>
      <w:r w:rsidR="009509FC">
        <w:t xml:space="preserve"> od 18. prosinca 2025. (KLASA: UP/I-344-01/25-03/01, URBROJ: 376-05-1-25-09), i</w:t>
      </w:r>
      <w:r w:rsidR="00E126C5">
        <w:t xml:space="preserve"> to</w:t>
      </w:r>
      <w:r w:rsidR="009509FC">
        <w:t>:</w:t>
      </w:r>
    </w:p>
    <w:p w14:paraId="2F186627" w14:textId="77777777" w:rsidR="00D75432" w:rsidRPr="008453B0" w:rsidRDefault="00D75432" w:rsidP="00D75432">
      <w:pPr>
        <w:numPr>
          <w:ilvl w:val="1"/>
          <w:numId w:val="27"/>
        </w:numPr>
        <w:contextualSpacing/>
        <w:jc w:val="both"/>
      </w:pPr>
      <w:r>
        <w:t>obvezu</w:t>
      </w:r>
      <w:r w:rsidRPr="008453B0">
        <w:t xml:space="preserve"> pristupa i korištenja posebnih mrežnih sastavnica i povezane opreme</w:t>
      </w:r>
      <w:r>
        <w:t>,</w:t>
      </w:r>
      <w:r w:rsidRPr="008453B0">
        <w:t xml:space="preserve"> </w:t>
      </w:r>
    </w:p>
    <w:p w14:paraId="5613A52F" w14:textId="77777777" w:rsidR="00D75432" w:rsidRPr="008453B0" w:rsidRDefault="00D75432" w:rsidP="00D75432">
      <w:pPr>
        <w:numPr>
          <w:ilvl w:val="1"/>
          <w:numId w:val="27"/>
        </w:numPr>
        <w:contextualSpacing/>
        <w:jc w:val="both"/>
      </w:pPr>
      <w:r>
        <w:t>obvezu</w:t>
      </w:r>
      <w:r w:rsidRPr="008453B0">
        <w:t xml:space="preserve"> nediskriminacije</w:t>
      </w:r>
      <w:r>
        <w:t>,</w:t>
      </w:r>
      <w:r w:rsidRPr="008453B0">
        <w:t xml:space="preserve"> </w:t>
      </w:r>
    </w:p>
    <w:p w14:paraId="4AB4CCB2" w14:textId="77777777" w:rsidR="00D75432" w:rsidRPr="008453B0" w:rsidRDefault="00D75432" w:rsidP="00D75432">
      <w:pPr>
        <w:numPr>
          <w:ilvl w:val="1"/>
          <w:numId w:val="27"/>
        </w:numPr>
        <w:contextualSpacing/>
        <w:jc w:val="both"/>
      </w:pPr>
      <w:r>
        <w:t>obvezu</w:t>
      </w:r>
      <w:r w:rsidRPr="008453B0">
        <w:t xml:space="preserve"> transparentnosti uz obvezu objave standardne ponude</w:t>
      </w:r>
      <w:r>
        <w:t>,</w:t>
      </w:r>
    </w:p>
    <w:p w14:paraId="151DB397" w14:textId="77777777" w:rsidR="00D75432" w:rsidRPr="008453B0" w:rsidRDefault="00D75432" w:rsidP="00D75432">
      <w:pPr>
        <w:numPr>
          <w:ilvl w:val="1"/>
          <w:numId w:val="27"/>
        </w:numPr>
        <w:contextualSpacing/>
        <w:jc w:val="both"/>
      </w:pPr>
      <w:r>
        <w:t>obvezu</w:t>
      </w:r>
      <w:r w:rsidRPr="008453B0">
        <w:t xml:space="preserve"> nadzora cijena i vođenja troškovnog </w:t>
      </w:r>
      <w:r>
        <w:t>računovodstva,</w:t>
      </w:r>
    </w:p>
    <w:p w14:paraId="2F7F630D" w14:textId="77777777" w:rsidR="00D75432" w:rsidRPr="008453B0" w:rsidRDefault="00D75432" w:rsidP="00D75432">
      <w:pPr>
        <w:numPr>
          <w:ilvl w:val="1"/>
          <w:numId w:val="27"/>
        </w:numPr>
        <w:contextualSpacing/>
        <w:jc w:val="both"/>
      </w:pPr>
      <w:r>
        <w:t>obvezu računovodstvenog razdvajanja,</w:t>
      </w:r>
    </w:p>
    <w:p w14:paraId="4507B03B" w14:textId="77777777" w:rsidR="00D75432" w:rsidRDefault="00D75432" w:rsidP="00D75432">
      <w:pPr>
        <w:pStyle w:val="ListParagraph"/>
        <w:jc w:val="both"/>
      </w:pPr>
      <w:r w:rsidRPr="00BB4244">
        <w:t>na način, pod uvjetima i u</w:t>
      </w:r>
      <w:r w:rsidRPr="00334D1D">
        <w:t xml:space="preserve"> rokovima utvrđenima dokumentom </w:t>
      </w:r>
      <w:r w:rsidRPr="00EC17B0">
        <w:rPr>
          <w:i/>
        </w:rPr>
        <w:t>„Analiza tržišta veleprodajnog središnjeg pristupa koji se pruža na fiksnoj lokaciji za proizvode za masovno tržište“</w:t>
      </w:r>
      <w:r w:rsidRPr="00334D1D">
        <w:t>,</w:t>
      </w:r>
      <w:r w:rsidRPr="00EC17B0">
        <w:rPr>
          <w:i/>
        </w:rPr>
        <w:t xml:space="preserve"> </w:t>
      </w:r>
      <w:r w:rsidRPr="00360591">
        <w:t xml:space="preserve">koji je sastavni dio odluke </w:t>
      </w:r>
      <w:r w:rsidRPr="00BD3718">
        <w:t>Vijeć</w:t>
      </w:r>
      <w:r>
        <w:t xml:space="preserve">a </w:t>
      </w:r>
      <w:r w:rsidRPr="00BD3718">
        <w:t>Hrvatske regulatorne agencije za mrežne djelatnosti</w:t>
      </w:r>
      <w:r w:rsidRPr="00334D1D">
        <w:t xml:space="preserve"> </w:t>
      </w:r>
      <w:r>
        <w:t xml:space="preserve">od 27. srpnja 2023. </w:t>
      </w:r>
      <w:r w:rsidRPr="00334D1D">
        <w:t xml:space="preserve">(KLASA: UP/I-344-01/22-03/03, URBROJ: 376-05-1-23-26) i dokumentom </w:t>
      </w:r>
      <w:r w:rsidRPr="00EC17B0">
        <w:rPr>
          <w:i/>
        </w:rPr>
        <w:t>„Analiza tržišta veleprodajnog lokalnog pristupa koji se pruža na fiksnoj lokaciji“</w:t>
      </w:r>
      <w:r w:rsidRPr="00334D1D">
        <w:t xml:space="preserve">, koji je sastavni dio odluke </w:t>
      </w:r>
      <w:r w:rsidRPr="00BD3718">
        <w:t>Vijeć</w:t>
      </w:r>
      <w:r>
        <w:t>a</w:t>
      </w:r>
      <w:r w:rsidRPr="00BD3718">
        <w:t xml:space="preserve"> Hrvatske regulatorne agencije za mrežne djelatnosti</w:t>
      </w:r>
      <w:r w:rsidRPr="00334D1D">
        <w:t xml:space="preserve"> </w:t>
      </w:r>
      <w:r>
        <w:t xml:space="preserve">od 27. srpnja 2023. </w:t>
      </w:r>
      <w:r w:rsidRPr="00334D1D">
        <w:t>(KLASA: UP/I-344-01/22-03/04, URBROJ: 376-05-1-23-41).</w:t>
      </w:r>
    </w:p>
    <w:p w14:paraId="2BE997F3" w14:textId="774C2BB7" w:rsidR="00EC17B0" w:rsidRPr="009D301E" w:rsidRDefault="00EC17B0" w:rsidP="00EC17B0">
      <w:pPr>
        <w:pStyle w:val="ListParagraph"/>
        <w:jc w:val="both"/>
      </w:pPr>
    </w:p>
    <w:p w14:paraId="4573FD09" w14:textId="558188D6" w:rsidR="00A0637C" w:rsidRDefault="00EC17B0" w:rsidP="00CD0166">
      <w:pPr>
        <w:pStyle w:val="ListParagraph"/>
        <w:numPr>
          <w:ilvl w:val="0"/>
          <w:numId w:val="27"/>
        </w:numPr>
        <w:jc w:val="both"/>
      </w:pPr>
      <w:r w:rsidRPr="00E5651F">
        <w:lastRenderedPageBreak/>
        <w:t>Hrvatski Telekom d.d.</w:t>
      </w:r>
      <w:r w:rsidR="00F1616D">
        <w:t xml:space="preserve"> obvezan</w:t>
      </w:r>
      <w:r w:rsidR="002565D2" w:rsidRPr="002565D2">
        <w:t xml:space="preserve"> </w:t>
      </w:r>
      <w:r w:rsidR="00F1616D">
        <w:t xml:space="preserve">je </w:t>
      </w:r>
      <w:r w:rsidR="002565D2" w:rsidRPr="002565D2">
        <w:t xml:space="preserve">u najkraćem roku, a najkasnije u roku od devet (9) mjeseci od </w:t>
      </w:r>
      <w:r w:rsidR="00783890">
        <w:t xml:space="preserve">dana preuzimanja </w:t>
      </w:r>
      <w:r w:rsidR="00783890" w:rsidRPr="00BA4AF6">
        <w:t>poslovnog udjela</w:t>
      </w:r>
      <w:r w:rsidR="00783890">
        <w:t xml:space="preserve"> </w:t>
      </w:r>
      <w:r w:rsidR="00421ABB">
        <w:t xml:space="preserve">društva </w:t>
      </w:r>
      <w:r w:rsidR="00783890">
        <w:t xml:space="preserve">Pro </w:t>
      </w:r>
      <w:r w:rsidR="00951CF5">
        <w:t>P</w:t>
      </w:r>
      <w:r w:rsidR="00783890">
        <w:t>ing d.o.o.</w:t>
      </w:r>
      <w:r w:rsidR="00783890" w:rsidRPr="00BA4AF6">
        <w:t xml:space="preserve"> od strane Hrvatskog Telekoma d.d.</w:t>
      </w:r>
      <w:r w:rsidR="002565D2" w:rsidRPr="002565D2">
        <w:t>, uspostaviti funkcionalnu</w:t>
      </w:r>
      <w:r w:rsidR="00103528">
        <w:t xml:space="preserve"> veleprodajnu uslugu širokopojasnog pristupa</w:t>
      </w:r>
      <w:r w:rsidR="002565D2" w:rsidRPr="002565D2">
        <w:t xml:space="preserve"> </w:t>
      </w:r>
      <w:r w:rsidR="00103528">
        <w:t>(</w:t>
      </w:r>
      <w:r w:rsidR="002565D2" w:rsidRPr="002565D2">
        <w:t>NBSA</w:t>
      </w:r>
      <w:r w:rsidR="00103528">
        <w:t xml:space="preserve">) </w:t>
      </w:r>
      <w:r w:rsidR="002565D2" w:rsidRPr="002565D2">
        <w:t xml:space="preserve">na infrastrukturi </w:t>
      </w:r>
      <w:r w:rsidR="002A5D69" w:rsidRPr="002A5D69">
        <w:t xml:space="preserve">društva Pro Ping d.o.o. </w:t>
      </w:r>
      <w:r w:rsidR="002565D2" w:rsidRPr="002565D2">
        <w:t xml:space="preserve">pod uvjetima </w:t>
      </w:r>
      <w:r w:rsidR="00CD0166">
        <w:t xml:space="preserve">iz </w:t>
      </w:r>
      <w:r w:rsidR="00D630BC">
        <w:t xml:space="preserve">važeće </w:t>
      </w:r>
      <w:r w:rsidR="00CD0166" w:rsidRPr="00CD0166">
        <w:t>Standardn</w:t>
      </w:r>
      <w:r w:rsidR="00CD0166">
        <w:t>e</w:t>
      </w:r>
      <w:r w:rsidR="00CD0166" w:rsidRPr="00CD0166">
        <w:t xml:space="preserve"> ponud</w:t>
      </w:r>
      <w:r w:rsidR="00CD0166">
        <w:t>e</w:t>
      </w:r>
      <w:r w:rsidR="00CD0166" w:rsidRPr="00CD0166">
        <w:t xml:space="preserve"> Hrvatskog Telekoma d.d. za uslugu veleprodajnog širokopojasnog pristupa</w:t>
      </w:r>
      <w:r w:rsidR="002565D2" w:rsidRPr="002565D2">
        <w:t>.</w:t>
      </w:r>
      <w:r w:rsidR="001C0C26" w:rsidRPr="001C0C26">
        <w:t xml:space="preserve"> </w:t>
      </w:r>
    </w:p>
    <w:p w14:paraId="0712B39C" w14:textId="77777777" w:rsidR="00A0637C" w:rsidRDefault="00A0637C" w:rsidP="00084B3A">
      <w:pPr>
        <w:pStyle w:val="ListParagraph"/>
        <w:jc w:val="both"/>
      </w:pPr>
    </w:p>
    <w:p w14:paraId="3152A8F2" w14:textId="22E85D9E" w:rsidR="00EC17B0" w:rsidRPr="00E5651F" w:rsidRDefault="001C0C26" w:rsidP="00A0637C">
      <w:pPr>
        <w:pStyle w:val="ListParagraph"/>
        <w:numPr>
          <w:ilvl w:val="0"/>
          <w:numId w:val="27"/>
        </w:numPr>
        <w:jc w:val="both"/>
      </w:pPr>
      <w:r>
        <w:t xml:space="preserve">Hrvatski Telekom d.d. obvezan je </w:t>
      </w:r>
      <w:r w:rsidR="00A0637C">
        <w:t xml:space="preserve">svaka tri mjeseca počevši od </w:t>
      </w:r>
      <w:r w:rsidR="00A0637C" w:rsidRPr="00A0637C">
        <w:t xml:space="preserve">dana preuzimanja poslovnog udjela društva Pro Ping d.o.o. </w:t>
      </w:r>
      <w:r>
        <w:t xml:space="preserve">dostavljati podatke </w:t>
      </w:r>
      <w:r w:rsidR="00E126C5" w:rsidRPr="00BD3718">
        <w:t>Hrvatsk</w:t>
      </w:r>
      <w:r w:rsidR="00E126C5">
        <w:t>oj</w:t>
      </w:r>
      <w:r w:rsidR="00E126C5" w:rsidRPr="00BD3718">
        <w:t xml:space="preserve"> regulatorn</w:t>
      </w:r>
      <w:r w:rsidR="00E126C5">
        <w:t>oj</w:t>
      </w:r>
      <w:r w:rsidR="00E126C5" w:rsidRPr="00BD3718">
        <w:t xml:space="preserve"> agencij</w:t>
      </w:r>
      <w:r w:rsidR="00E126C5">
        <w:t>i</w:t>
      </w:r>
      <w:r w:rsidR="00E126C5" w:rsidRPr="00BD3718">
        <w:t xml:space="preserve"> za mrežne djelatnosti</w:t>
      </w:r>
      <w:r w:rsidR="00E126C5" w:rsidRPr="00334D1D">
        <w:t xml:space="preserve"> </w:t>
      </w:r>
      <w:r>
        <w:t>o</w:t>
      </w:r>
      <w:r w:rsidR="00064633">
        <w:t xml:space="preserve"> </w:t>
      </w:r>
      <w:r>
        <w:t>statusu integracije mreže i IT sustava</w:t>
      </w:r>
      <w:r w:rsidR="00402CAC">
        <w:t xml:space="preserve"> te </w:t>
      </w:r>
      <w:r>
        <w:t>uspostavi i dostupnosti NBSA usluge</w:t>
      </w:r>
      <w:r w:rsidR="00197672">
        <w:t>.</w:t>
      </w:r>
    </w:p>
    <w:p w14:paraId="4B282C6C" w14:textId="77777777" w:rsidR="00EC17B0" w:rsidRPr="00E5651F" w:rsidRDefault="00EC17B0" w:rsidP="00EC17B0">
      <w:pPr>
        <w:pStyle w:val="ListParagraph"/>
        <w:ind w:left="1080"/>
        <w:jc w:val="both"/>
      </w:pPr>
    </w:p>
    <w:p w14:paraId="0D2A5539" w14:textId="28A8B4E5" w:rsidR="00FC65BD" w:rsidRPr="00C568EA" w:rsidRDefault="00837178" w:rsidP="009357CE">
      <w:pPr>
        <w:pStyle w:val="ListParagraph"/>
        <w:numPr>
          <w:ilvl w:val="0"/>
          <w:numId w:val="27"/>
        </w:numPr>
        <w:jc w:val="both"/>
      </w:pPr>
      <w:r>
        <w:t xml:space="preserve">Iznimno od mjera iz točaka II.a. i II.b., </w:t>
      </w:r>
      <w:r w:rsidR="002310B8">
        <w:t xml:space="preserve">Hrvatski Telekom d.d. </w:t>
      </w:r>
      <w:r w:rsidR="002A5D69">
        <w:t>i</w:t>
      </w:r>
      <w:r w:rsidR="002A5D69" w:rsidRPr="002A5D69">
        <w:t xml:space="preserve"> Pro Ping d.o.o.</w:t>
      </w:r>
      <w:r>
        <w:t xml:space="preserve"> </w:t>
      </w:r>
      <w:r w:rsidR="00A87F41">
        <w:t xml:space="preserve">mogu, </w:t>
      </w:r>
      <w:r>
        <w:t xml:space="preserve">putem infrastrukture u vlasništvu </w:t>
      </w:r>
      <w:r w:rsidR="00421ABB">
        <w:t xml:space="preserve">društva </w:t>
      </w:r>
      <w:r>
        <w:t>Pro Ping d.o.o.,</w:t>
      </w:r>
      <w:r w:rsidR="0020015A">
        <w:t xml:space="preserve"> </w:t>
      </w:r>
      <w:r w:rsidR="002310B8">
        <w:t xml:space="preserve">nuditi i ugovarati isključivo postojeće </w:t>
      </w:r>
      <w:r w:rsidR="00A0637C">
        <w:t xml:space="preserve">ponude društva </w:t>
      </w:r>
      <w:r w:rsidR="002310B8" w:rsidRPr="00103528">
        <w:t xml:space="preserve">Pro Ping </w:t>
      </w:r>
      <w:r w:rsidR="00A0637C">
        <w:t>d.o.o.</w:t>
      </w:r>
      <w:r w:rsidR="002310B8" w:rsidRPr="00103528">
        <w:t xml:space="preserve"> </w:t>
      </w:r>
      <w:r w:rsidR="002A5D69">
        <w:t>važeće</w:t>
      </w:r>
      <w:r w:rsidR="002A5D69" w:rsidRPr="00103528">
        <w:t xml:space="preserve"> </w:t>
      </w:r>
      <w:r w:rsidR="002310B8" w:rsidRPr="00103528">
        <w:t xml:space="preserve">na dan </w:t>
      </w:r>
      <w:r w:rsidR="00292CB1">
        <w:t xml:space="preserve">zaprimanja potpune prijave </w:t>
      </w:r>
      <w:r w:rsidR="00292CB1" w:rsidRPr="00292CB1">
        <w:t>namjere preuzimanja</w:t>
      </w:r>
      <w:r w:rsidR="002310B8" w:rsidRPr="00103528">
        <w:t xml:space="preserve">, </w:t>
      </w:r>
      <w:r w:rsidR="002310B8" w:rsidRPr="006B6CE2">
        <w:t xml:space="preserve">po cijenama koje su u cjeniku iskazane za razdoblje bez </w:t>
      </w:r>
      <w:r w:rsidR="002310B8" w:rsidRPr="002A5D69">
        <w:t>minimalnog trajanja ugovorne obveze</w:t>
      </w:r>
      <w:r w:rsidR="002310B8" w:rsidRPr="00DD207F">
        <w:t xml:space="preserve">, </w:t>
      </w:r>
      <w:r w:rsidR="005726AF">
        <w:t>pri čemu ne smiju</w:t>
      </w:r>
      <w:r w:rsidR="00867FAB">
        <w:t xml:space="preserve"> </w:t>
      </w:r>
      <w:r w:rsidR="002310B8" w:rsidRPr="00DD207F">
        <w:t>ugovorno</w:t>
      </w:r>
      <w:r w:rsidR="002310B8">
        <w:t xml:space="preserve"> obvezivati</w:t>
      </w:r>
      <w:r w:rsidR="002310B8" w:rsidRPr="00DD207F">
        <w:t xml:space="preserve"> krajnje korisnike</w:t>
      </w:r>
      <w:r w:rsidR="00A87F41">
        <w:t>. Navedena obveza primjenjuje se</w:t>
      </w:r>
      <w:r>
        <w:t xml:space="preserve"> od dana donošenja ovoga rješenja</w:t>
      </w:r>
      <w:r w:rsidR="002310B8">
        <w:t xml:space="preserve"> sve d</w:t>
      </w:r>
      <w:r w:rsidR="005045B3">
        <w:t xml:space="preserve">o </w:t>
      </w:r>
      <w:r w:rsidR="009357CE" w:rsidRPr="009357CE">
        <w:t>uspostave funkcionalne veleprodajne usluge širokopojasnog pristupa (NBSA)</w:t>
      </w:r>
      <w:r w:rsidR="00A87F41">
        <w:t>.</w:t>
      </w:r>
      <w:r w:rsidR="0020015A">
        <w:t xml:space="preserve"> </w:t>
      </w:r>
      <w:r w:rsidR="00411265" w:rsidRPr="00411265">
        <w:t xml:space="preserve">Pro Ping d.o.o. </w:t>
      </w:r>
      <w:r w:rsidR="00411265">
        <w:t xml:space="preserve">je </w:t>
      </w:r>
      <w:r w:rsidR="007F3320">
        <w:t xml:space="preserve">obvezan </w:t>
      </w:r>
      <w:r w:rsidR="00DD207F" w:rsidRPr="00DD207F">
        <w:t>uskladiti cjenik</w:t>
      </w:r>
      <w:r w:rsidR="00E23B3F">
        <w:t xml:space="preserve"> usluga</w:t>
      </w:r>
      <w:r w:rsidR="00DD207F" w:rsidRPr="00DD207F">
        <w:t xml:space="preserve"> na način da isti sadrži isključivo pakete dostupne za aktivaciju.</w:t>
      </w:r>
    </w:p>
    <w:p w14:paraId="7F282C94" w14:textId="77777777" w:rsidR="00EC17B0" w:rsidRPr="00E5651F" w:rsidRDefault="00EC17B0" w:rsidP="00EC17B0">
      <w:pPr>
        <w:pStyle w:val="ListParagraph"/>
        <w:ind w:left="1080"/>
        <w:jc w:val="both"/>
      </w:pPr>
    </w:p>
    <w:p w14:paraId="02E98925" w14:textId="5F061201" w:rsidR="00BD3718" w:rsidRPr="00E5651F" w:rsidRDefault="00BD3718" w:rsidP="009D491F">
      <w:pPr>
        <w:jc w:val="both"/>
      </w:pPr>
    </w:p>
    <w:p w14:paraId="543F044A" w14:textId="77777777" w:rsidR="00BD3718" w:rsidRPr="00E5651F" w:rsidRDefault="00BD3718" w:rsidP="00BD3718">
      <w:pPr>
        <w:jc w:val="center"/>
        <w:rPr>
          <w:b/>
          <w:i/>
        </w:rPr>
      </w:pPr>
      <w:r w:rsidRPr="00E5651F">
        <w:rPr>
          <w:b/>
          <w:i/>
        </w:rPr>
        <w:t>Obrazloženje</w:t>
      </w:r>
    </w:p>
    <w:p w14:paraId="2BE847D8" w14:textId="0C8A1C73" w:rsidR="00BD3718" w:rsidRPr="00E5651F" w:rsidRDefault="00BD3718" w:rsidP="00BD3718">
      <w:pPr>
        <w:jc w:val="both"/>
      </w:pPr>
    </w:p>
    <w:p w14:paraId="5F9254EF" w14:textId="73292BA3" w:rsidR="003D0E8A" w:rsidRPr="00E5651F" w:rsidRDefault="003D0E8A" w:rsidP="003D0E8A">
      <w:pPr>
        <w:pStyle w:val="ListParagraph"/>
        <w:numPr>
          <w:ilvl w:val="0"/>
          <w:numId w:val="8"/>
        </w:numPr>
        <w:jc w:val="both"/>
        <w:rPr>
          <w:i/>
        </w:rPr>
      </w:pPr>
      <w:r w:rsidRPr="00E5651F">
        <w:rPr>
          <w:i/>
        </w:rPr>
        <w:t>Tijek postupka</w:t>
      </w:r>
    </w:p>
    <w:p w14:paraId="62C6570C" w14:textId="77777777" w:rsidR="003D0E8A" w:rsidRPr="00E5651F" w:rsidRDefault="003D0E8A" w:rsidP="00BD3718">
      <w:pPr>
        <w:jc w:val="both"/>
      </w:pPr>
    </w:p>
    <w:p w14:paraId="0918F081" w14:textId="2B1D5D8D" w:rsidR="00BD3718" w:rsidRPr="00E5651F" w:rsidRDefault="00BD3718" w:rsidP="00BD3718">
      <w:pPr>
        <w:jc w:val="both"/>
      </w:pPr>
      <w:r w:rsidRPr="00E5651F">
        <w:t>Hrvatska regulatorna agencija za mrežne djelatnosti (dalje: HAKOM) zaprimila je 30. travnja 2026. prijavu namjere preuzimanja društva Pro Ping d.o.o. (dalje: Pro Ping) od strane Hrvatskog Telekoma d.d. (dalje: HT)</w:t>
      </w:r>
      <w:r w:rsidR="00A74C76" w:rsidRPr="00E5651F">
        <w:t xml:space="preserve"> koju </w:t>
      </w:r>
      <w:r w:rsidR="00BD7A6A">
        <w:t>je ocijenila</w:t>
      </w:r>
      <w:r w:rsidR="00A74C76" w:rsidRPr="00E5651F">
        <w:t xml:space="preserve"> potpunom.</w:t>
      </w:r>
      <w:r w:rsidRPr="00E5651F">
        <w:t xml:space="preserve"> Predmetna transakcija ne podliježe obvezi prijave namjere provedbe koncentracije Agenciji za zaštitu tržišnog natjecanja (dalje: AZTN) budući da </w:t>
      </w:r>
      <w:r w:rsidR="00BD7A6A">
        <w:t xml:space="preserve">je </w:t>
      </w:r>
      <w:r w:rsidRPr="00E5651F">
        <w:t>prihod Pro Pinga u godini koja je prethodila koncentraciji, sukladno financijskim izvještajima, manj</w:t>
      </w:r>
      <w:r w:rsidR="00BD7A6A">
        <w:t>i</w:t>
      </w:r>
      <w:r w:rsidRPr="00E5651F">
        <w:t xml:space="preserve"> od 100.000.000 kuna</w:t>
      </w:r>
      <w:r w:rsidRPr="00E5651F">
        <w:rPr>
          <w:vertAlign w:val="superscript"/>
        </w:rPr>
        <w:footnoteReference w:id="2"/>
      </w:r>
      <w:r w:rsidRPr="00E5651F">
        <w:t>. Međutim, imajući u vidu da je HT operator kojem je izdana dozvola za uporabu radiofrekvencijskog spektra na razini Republike Hrvatske i operator sa značajnom tržišnom snagom na:</w:t>
      </w:r>
    </w:p>
    <w:p w14:paraId="1CCF3FD6" w14:textId="77777777" w:rsidR="00BD3718" w:rsidRPr="00E5651F" w:rsidRDefault="00BD3718" w:rsidP="00BD3718">
      <w:pPr>
        <w:numPr>
          <w:ilvl w:val="0"/>
          <w:numId w:val="5"/>
        </w:numPr>
        <w:contextualSpacing/>
        <w:jc w:val="both"/>
      </w:pPr>
      <w:r w:rsidRPr="00E5651F">
        <w:t>tržištu veleprodajnog lokalnog pristupa malog kapaciteta koji se pruža na fiksnoj lokaciji,</w:t>
      </w:r>
    </w:p>
    <w:p w14:paraId="55D0A658" w14:textId="77777777" w:rsidR="00BD3718" w:rsidRPr="00E5651F" w:rsidRDefault="00BD3718" w:rsidP="00BD3718">
      <w:pPr>
        <w:numPr>
          <w:ilvl w:val="0"/>
          <w:numId w:val="5"/>
        </w:numPr>
        <w:contextualSpacing/>
        <w:jc w:val="both"/>
      </w:pPr>
      <w:r w:rsidRPr="00E5651F">
        <w:t>tržištu veleprodajnog lokalnog pristupa velikog kapaciteta koji se pruža na fiksnoj lokaciji – nekonkurentna područja,</w:t>
      </w:r>
    </w:p>
    <w:p w14:paraId="408A6140" w14:textId="77777777" w:rsidR="00BD3718" w:rsidRPr="00E5651F" w:rsidRDefault="00BD3718" w:rsidP="00BD3718">
      <w:pPr>
        <w:numPr>
          <w:ilvl w:val="0"/>
          <w:numId w:val="5"/>
        </w:numPr>
        <w:contextualSpacing/>
        <w:jc w:val="both"/>
      </w:pPr>
      <w:r w:rsidRPr="00E5651F">
        <w:t>tržištu veleprodajnog središnjeg pristupa malog kapaciteta koji se pruža na fiksnoj lokaciji za proizvode za masovno tržište,</w:t>
      </w:r>
    </w:p>
    <w:p w14:paraId="17C1A194" w14:textId="77777777" w:rsidR="00BD3718" w:rsidRPr="00E5651F" w:rsidRDefault="00BD3718" w:rsidP="00BD3718">
      <w:pPr>
        <w:numPr>
          <w:ilvl w:val="0"/>
          <w:numId w:val="5"/>
        </w:numPr>
        <w:contextualSpacing/>
        <w:jc w:val="both"/>
      </w:pPr>
      <w:r w:rsidRPr="00E5651F">
        <w:t>tržištu veleprodajnog središnjeg pristupa velikog kapaciteta koji se pruža na fiksnoj lokaciji za proizvode za masovno tržište – nekonkurentna područja,</w:t>
      </w:r>
    </w:p>
    <w:p w14:paraId="7A606F9F" w14:textId="77777777" w:rsidR="00BD3718" w:rsidRPr="00E5651F" w:rsidRDefault="00BD3718" w:rsidP="00BD3718">
      <w:pPr>
        <w:numPr>
          <w:ilvl w:val="0"/>
          <w:numId w:val="5"/>
        </w:numPr>
        <w:contextualSpacing/>
        <w:jc w:val="both"/>
      </w:pPr>
      <w:r w:rsidRPr="00E5651F">
        <w:t>tržištu veleprodajnog zajamčenog kapaciteta i</w:t>
      </w:r>
    </w:p>
    <w:p w14:paraId="60A72431" w14:textId="033A6897" w:rsidR="00BD3718" w:rsidRPr="00E5651F" w:rsidRDefault="00BD3718" w:rsidP="00BD3718">
      <w:pPr>
        <w:numPr>
          <w:ilvl w:val="0"/>
          <w:numId w:val="5"/>
        </w:numPr>
        <w:contextualSpacing/>
        <w:jc w:val="both"/>
      </w:pPr>
      <w:r w:rsidRPr="00E5651F">
        <w:t xml:space="preserve">tržištu veleprodajnih prijenosnih segmenata usluga zajamčenog kapaciteta </w:t>
      </w:r>
      <w:r w:rsidR="00BD7A6A" w:rsidRPr="00BD7A6A">
        <w:t xml:space="preserve">– </w:t>
      </w:r>
      <w:r w:rsidRPr="00E5651F">
        <w:t>nekonkurentne relacije,</w:t>
      </w:r>
    </w:p>
    <w:p w14:paraId="07244857" w14:textId="3232FB38" w:rsidR="00BD3718" w:rsidRPr="00E5651F" w:rsidRDefault="00BD3718" w:rsidP="00BD3718">
      <w:pPr>
        <w:jc w:val="both"/>
      </w:pPr>
      <w:r w:rsidRPr="00E5651F">
        <w:t>postoji obveza ispitivanja ove prijave na temelju članka 116. stavka 6. Zakona o elektroničkim komunikacijama (NN br. 76/22, 14/24 i 45/26, dalje: ZEK). Naime, u skladu s naveden</w:t>
      </w:r>
      <w:r w:rsidR="00386071" w:rsidRPr="00E5651F">
        <w:t>i</w:t>
      </w:r>
      <w:r w:rsidRPr="00E5651F">
        <w:t xml:space="preserve">m člankom 116. stavkom 2. ZEK-a, operatori sa značajnom tržišnom snagom i operatori s nacionalnom dozvolom za uporabu radiofrekvencijskog spektra, koji ne podliježu obvezi prijave koncentracije prema propisima o zaštiti tržišnog natjecanja, moraju HAKOM-u u pisanom obliku i bez odgode prijaviti svaku namjeru </w:t>
      </w:r>
      <w:r w:rsidRPr="00E5651F">
        <w:lastRenderedPageBreak/>
        <w:t xml:space="preserve">pripajanja ili spajanja operatora, kao i svaki drugi oblik zajedničkog ili usklađenog djelovanja. Sukladno članku 116. stavku 6. ZEK-a, HAKOM ocjenjuje prijavu namjere pripajanja ili spajanja operatora i namjeru svakog drugog oblika zajedničkog ili usklađenog djelovanja operatora te njihove učinke na ostvarivanje regulatornih ciljeva iz članka 7. ZEK-a. </w:t>
      </w:r>
    </w:p>
    <w:p w14:paraId="15F7F199" w14:textId="77777777" w:rsidR="00BD3718" w:rsidRPr="00E5651F" w:rsidRDefault="00BD3718" w:rsidP="00BD3718">
      <w:pPr>
        <w:jc w:val="both"/>
      </w:pPr>
    </w:p>
    <w:p w14:paraId="63FC32B4" w14:textId="77A59C8C" w:rsidR="00BD3718" w:rsidRPr="00E5651F" w:rsidRDefault="00BD3718" w:rsidP="00BD3718">
      <w:pPr>
        <w:jc w:val="both"/>
      </w:pPr>
      <w:r w:rsidRPr="00E5651F">
        <w:t xml:space="preserve">U prijavi su navedeni općeniti podaci i prihod trgovačkog društva Pro Ping u poslovnoj 2024. godini, popis mjerodavnih tržišta na kojima je Pro Ping prisutan, broj korisnika odnosno obuhvat mreže, zajedno s popratnom dokumentacijom kojom se dokazuju navodi iz prijave. Prema navodima iz prijave, Pro Ping pruža širokopojasne usluge putem vlastite svjetlovodne i bežične mreže, s naglaskom na ruralna područja. Društvo ima oko 17.000 korisnika, zapošljava 17 radnika te raspolaže svjetlovodnom (FTTH, eng. </w:t>
      </w:r>
      <w:r w:rsidRPr="00E5651F">
        <w:rPr>
          <w:i/>
        </w:rPr>
        <w:t>Fibre to the Home</w:t>
      </w:r>
      <w:r w:rsidRPr="00E5651F">
        <w:t xml:space="preserve">) infrastrukturom obuhvata oko </w:t>
      </w:r>
      <w:r w:rsidR="00D728CA">
        <w:t>[</w:t>
      </w:r>
      <w:r w:rsidR="00D728CA">
        <w:rPr>
          <w:rFonts w:ascii="Wingdings" w:hAnsi="Wingdings"/>
        </w:rPr>
        <w:t></w:t>
      </w:r>
      <w:r w:rsidR="00D728CA">
        <w:t xml:space="preserve">] </w:t>
      </w:r>
      <w:r w:rsidRPr="00E5651F">
        <w:t>korisničkih jedinica u različitim fazama dovršenosti. Polazeći od aktualne HAKOM-ove kategorizacije maloprodajnih i veleprodajnih tržišta te opsega usluga Pro Pinga, predmetna transakcija u proizvodnom smislu primarno zahvaća tržišta nepokretnih elektroničkih komunikacijskih usluga u maloprodaji i veleprodaji. Prema navod</w:t>
      </w:r>
      <w:r w:rsidR="00F81394">
        <w:t>ima</w:t>
      </w:r>
      <w:r w:rsidRPr="00E5651F">
        <w:t xml:space="preserve"> iz prijave, uz tržište maloprodaje širokopojasnog pristupa internetu u nepokretnoj mreži, tržište javno dostupne telefonske usluge na fiksnoj lokaciji i tržište pristupa javnoj komunikacijskoj mreži na fiksnoj lokaciji, Pro Ping djeluje i na veleprodajnim tržištima lokalnog i središnjeg pristupa velikog kapaciteta, tržištu veleprodajnog zajamčenog kapaciteta i pristupa pasivnoj infrastrukturi i povezanim mrežnim sastavnicama.</w:t>
      </w:r>
    </w:p>
    <w:p w14:paraId="5D31FF1A" w14:textId="77777777" w:rsidR="00BD3718" w:rsidRPr="00E5651F" w:rsidRDefault="00BD3718" w:rsidP="00BD3718">
      <w:pPr>
        <w:jc w:val="both"/>
      </w:pPr>
    </w:p>
    <w:p w14:paraId="62146EDF" w14:textId="081F78DF" w:rsidR="00BD3718" w:rsidRPr="00E5651F" w:rsidRDefault="00BD3718" w:rsidP="00BD3718">
      <w:pPr>
        <w:jc w:val="both"/>
      </w:pPr>
      <w:r w:rsidRPr="00E5651F">
        <w:t>Predmetnom transakcijom HT namjerava preuzeti 100% udjela u društvu</w:t>
      </w:r>
      <w:r w:rsidR="00E86A6C">
        <w:t xml:space="preserve"> Pro </w:t>
      </w:r>
      <w:r w:rsidR="006B3D7C">
        <w:t>P</w:t>
      </w:r>
      <w:r w:rsidR="00E86A6C">
        <w:t>ing</w:t>
      </w:r>
      <w:r w:rsidRPr="00E5651F">
        <w:t xml:space="preserve">, uključujući i povezano društvo Advatech d.o.o., Augusta Šenoe 4, Pitomača, OIB: 30009707922, radi integracije mreže i korisničke baze u vlastite mrežne i IT sustave. HT navodi da je preklapanje postojeće FTTH infrastrukture dvaju operatora vrlo ograničeno, odnosno oko </w:t>
      </w:r>
      <w:r w:rsidR="00D728CA">
        <w:t>[</w:t>
      </w:r>
      <w:r w:rsidR="00D728CA">
        <w:rPr>
          <w:rFonts w:ascii="Wingdings" w:hAnsi="Wingdings"/>
        </w:rPr>
        <w:t></w:t>
      </w:r>
      <w:r w:rsidR="00D728CA">
        <w:t>]</w:t>
      </w:r>
      <w:r w:rsidRPr="00E5651F">
        <w:t xml:space="preserve">%, zbog čega transakciju ne smatra objedinjavanjem paralelnih mreža, nego preuzimanjem operatora koji je već prisutan na određenim lokalnim </w:t>
      </w:r>
      <w:r w:rsidRPr="00E5651F">
        <w:lastRenderedPageBreak/>
        <w:t xml:space="preserve">područjima. Prema navodima iz prijave, HT-ov tržišni udjel na nacionalnom tržištu mreža vrlo velikog kapaciteta nakon provedbe transakcije porastao bi za </w:t>
      </w:r>
      <w:r w:rsidR="00D728CA">
        <w:t>[</w:t>
      </w:r>
      <w:r w:rsidR="00D728CA">
        <w:rPr>
          <w:rFonts w:ascii="Wingdings" w:hAnsi="Wingdings"/>
        </w:rPr>
        <w:t></w:t>
      </w:r>
      <w:r w:rsidR="00D728CA">
        <w:t>]</w:t>
      </w:r>
      <w:r w:rsidRPr="00E5651F">
        <w:t xml:space="preserve">postotnih poena, ali bez promjene redoslijeda tržišne snage operatora. </w:t>
      </w:r>
    </w:p>
    <w:p w14:paraId="44EE4677" w14:textId="77777777" w:rsidR="00BD3718" w:rsidRPr="00E5651F" w:rsidRDefault="00BD3718" w:rsidP="00BD3718">
      <w:pPr>
        <w:jc w:val="both"/>
      </w:pPr>
    </w:p>
    <w:p w14:paraId="04121AD3" w14:textId="1572C367" w:rsidR="00BD3718" w:rsidRPr="00E5651F" w:rsidRDefault="00BD3718" w:rsidP="00BD3718">
      <w:pPr>
        <w:jc w:val="both"/>
      </w:pPr>
      <w:r w:rsidRPr="00E5651F">
        <w:t xml:space="preserve">HT nadalje ističe da Pro Ping trenutačno nema uspostavljen funkcionalan sustav za pružanje veleprodajnih usluga drugim operatorima, zbog čega planira nakon integracije omogućiti pružanje veleprodajne NBSA usluge na preuzetoj infrastrukturi, uz procijenjeno prijelazno razdoblje od devet mjeseci od dovršetka transakcije </w:t>
      </w:r>
      <w:r w:rsidR="00BD7A6A">
        <w:t xml:space="preserve">potrebno </w:t>
      </w:r>
      <w:r w:rsidRPr="00E5651F">
        <w:t>radi tehničke, procesne i sustavne prilagodbe mreže i poslovnih sustava. U prijavi HT zaključuje kako predmetna transakcija ima pozitivan učinak na ostvarenje regulatornih ciljeva iz članka 7. stavka 4. ZEK-a, a to su: povezivost i pristup mrežama vrlo velikog kapaciteta (članak 7. stavak 4. točka a) ZEK-a), infrastrukturno i uslužno tržišno natjecanje (članak 7. stavak 4. točka b) ZEK-a), uklanjanje zapreka i olakšavanje uvjeta za ulaganja (članak 7. stavak 4. točka c) ZEK-a) te interes krajnjih korisnika (članak 7. stavak 4. točka d) ZEK-a).</w:t>
      </w:r>
    </w:p>
    <w:p w14:paraId="459BD117" w14:textId="77777777" w:rsidR="00BD3718" w:rsidRPr="00E5651F" w:rsidRDefault="00BD3718" w:rsidP="00BD3718">
      <w:pPr>
        <w:jc w:val="both"/>
      </w:pPr>
    </w:p>
    <w:p w14:paraId="05B1414A" w14:textId="4D1FF6D7" w:rsidR="00BD3718" w:rsidRPr="00E5651F" w:rsidRDefault="00BD3718" w:rsidP="00BD3718">
      <w:pPr>
        <w:jc w:val="both"/>
      </w:pPr>
      <w:r w:rsidRPr="00E5651F">
        <w:t>Također, HAKOM je 14. svibnja 2026. zaprimio i očitovanje društva A1 Hrvatska d.o.o. (dalje: A1) u kojem ukazuje na moguće negativne učinke predmetne transakcije na tržišno natjecanje na tržištu elektroničkih komunikacija</w:t>
      </w:r>
      <w:r w:rsidR="00386071" w:rsidRPr="00E5651F">
        <w:t>,</w:t>
      </w:r>
      <w:r w:rsidRPr="00E5651F">
        <w:t xml:space="preserve"> posebno ako HAKOM propusti poduzeti potrebne aktivnosti u svrhu zaštite tržišnog natjecanja. A1 smatra da bi HAKOM trebao revidirati popis konkurentnih područja na način da sve jedinice lokalne samouprave koje su proglašene konkurentnima prvenstveno zbog dominantne pozicije Pro Pinga prebaci </w:t>
      </w:r>
      <w:r w:rsidR="00283FA8">
        <w:t>na</w:t>
      </w:r>
      <w:r w:rsidR="00283FA8" w:rsidRPr="00E5651F">
        <w:t xml:space="preserve"> </w:t>
      </w:r>
      <w:r w:rsidRPr="00E5651F">
        <w:t>popis nekonkure</w:t>
      </w:r>
      <w:r w:rsidR="00386071" w:rsidRPr="00E5651F">
        <w:t>n</w:t>
      </w:r>
      <w:r w:rsidRPr="00E5651F">
        <w:t xml:space="preserve">tnih područja, tj. područja u kojima HT ima status operatora sa značajnom tržišnom snagom. Nadalje, A1 ističe potrebu osiguravanja regulirane veleprodajne bitstream usluge kako bi se spriječila </w:t>
      </w:r>
      <w:r w:rsidR="007D0C28">
        <w:t>neopravdana tržišna prednost HT-</w:t>
      </w:r>
      <w:r w:rsidRPr="00E5651F">
        <w:t xml:space="preserve">a nakon preuzimanja Pro Pinga, osobito u odnosu na migraciju korisnika s bakrene na svjetlovodnu mrežu. Također predlaže zabranu daljnje prodaje maloprodajnih ponuda Pro Pinga koje ne prolaze test istiskivanja marže (dalje: MST) </w:t>
      </w:r>
      <w:r w:rsidRPr="00E5651F">
        <w:lastRenderedPageBreak/>
        <w:t>koji je HT obvezan zadovoljiti za sve maloprodajne ponude koje nudi na reguliranim područjima te određivanje prijelaznog razdoblja za migraciju postojećih korisnika na ponude koje zadovoljavaju MST kriterije.</w:t>
      </w:r>
    </w:p>
    <w:p w14:paraId="7CA83947" w14:textId="138BC1D0" w:rsidR="00A17819" w:rsidRPr="00E5651F" w:rsidRDefault="00A17819" w:rsidP="00BD3718">
      <w:pPr>
        <w:jc w:val="both"/>
      </w:pPr>
    </w:p>
    <w:p w14:paraId="3E987E81" w14:textId="40F7933C" w:rsidR="00B00867" w:rsidRDefault="00B00867" w:rsidP="00B00867">
      <w:pPr>
        <w:jc w:val="both"/>
      </w:pPr>
      <w:r>
        <w:t xml:space="preserve">HT je 27. svibnja 2026. dostavio pojašnjenje </w:t>
      </w:r>
      <w:r w:rsidR="00F81394">
        <w:t xml:space="preserve">prijave </w:t>
      </w:r>
      <w:r>
        <w:t xml:space="preserve">namjere provedbe preuzimanja </w:t>
      </w:r>
      <w:r w:rsidDel="00CE557E">
        <w:t xml:space="preserve">Pro </w:t>
      </w:r>
      <w:r w:rsidR="00CE557E">
        <w:t>Pinga</w:t>
      </w:r>
      <w:r>
        <w:t xml:space="preserve"> u kojem pojašnjava tehničke i operativne razloge zbog kojih je potrebno prijelazno razdoblje</w:t>
      </w:r>
      <w:r w:rsidR="00CE557E">
        <w:t xml:space="preserve"> </w:t>
      </w:r>
      <w:r>
        <w:t>te pobliže definira način na koji će nuditi svoje usluge nakon isteka prijelaznog razdoblj</w:t>
      </w:r>
      <w:r w:rsidR="00CE557E">
        <w:t>a</w:t>
      </w:r>
      <w:r>
        <w:t xml:space="preserve"> na geografskim područjima na kojima posluje Pro </w:t>
      </w:r>
      <w:r w:rsidR="00CE557E">
        <w:t>P</w:t>
      </w:r>
      <w:r>
        <w:t xml:space="preserve">ing. Ukratko, HT navodi kako se predloženo prijelazno razdoblje od </w:t>
      </w:r>
      <w:r w:rsidR="00F81394">
        <w:t xml:space="preserve">devet </w:t>
      </w:r>
      <w:r>
        <w:t xml:space="preserve">mjeseci odnosi prije svega na </w:t>
      </w:r>
      <w:r w:rsidRPr="003D2D86">
        <w:rPr>
          <w:i/>
        </w:rPr>
        <w:t>inventory</w:t>
      </w:r>
      <w:r>
        <w:t xml:space="preserve"> bazu te pripadajuće ope</w:t>
      </w:r>
      <w:r w:rsidR="00064633">
        <w:t>ra</w:t>
      </w:r>
      <w:r>
        <w:t>tivne podatke, na prilagodbu akt</w:t>
      </w:r>
      <w:r w:rsidR="00064633">
        <w:t>i</w:t>
      </w:r>
      <w:r>
        <w:t xml:space="preserve">vnog sloja mreže (posebno GPON </w:t>
      </w:r>
      <w:r w:rsidR="00F81394">
        <w:t xml:space="preserve">infrastrukture </w:t>
      </w:r>
      <w:r>
        <w:t>te pripadajuć</w:t>
      </w:r>
      <w:r w:rsidR="00F81394">
        <w:t>e aktivne</w:t>
      </w:r>
      <w:r>
        <w:t xml:space="preserve"> </w:t>
      </w:r>
      <w:r w:rsidR="00F81394">
        <w:t>opreme</w:t>
      </w:r>
      <w:r>
        <w:t>) te radi proved</w:t>
      </w:r>
      <w:r w:rsidR="00064633">
        <w:t>b</w:t>
      </w:r>
      <w:r>
        <w:t xml:space="preserve">e integracije u kontroliranim fazama, uz očuvanje stabilnosti mreže i minimiziranje rizika za krajnje korisnike i operatore korisnike. </w:t>
      </w:r>
    </w:p>
    <w:p w14:paraId="7542A757" w14:textId="1DE2778A" w:rsidR="00A17819" w:rsidRPr="00E5651F" w:rsidRDefault="00A17819" w:rsidP="00BD3718">
      <w:pPr>
        <w:jc w:val="both"/>
      </w:pPr>
    </w:p>
    <w:p w14:paraId="6E6BF2FC" w14:textId="1C57AB84" w:rsidR="003D0E8A" w:rsidRDefault="00471879" w:rsidP="00A66BC1">
      <w:pPr>
        <w:jc w:val="both"/>
      </w:pPr>
      <w:r w:rsidRPr="00E5651F">
        <w:t>HAKOM je</w:t>
      </w:r>
      <w:r w:rsidR="00C57186" w:rsidRPr="00E5651F">
        <w:t xml:space="preserve">, </w:t>
      </w:r>
      <w:r w:rsidRPr="00E5651F">
        <w:t>temeljem članaka 116. stavka 7. točke 2. ZEK-a</w:t>
      </w:r>
      <w:r w:rsidR="00C57186" w:rsidRPr="00E5651F">
        <w:t xml:space="preserve">, </w:t>
      </w:r>
      <w:r w:rsidR="002002C8" w:rsidRPr="00E5651F">
        <w:t xml:space="preserve">29. svibnja 2026. </w:t>
      </w:r>
      <w:r w:rsidRPr="00E5651F">
        <w:t xml:space="preserve">donio zaključak </w:t>
      </w:r>
      <w:r w:rsidR="00B32F87" w:rsidRPr="00E5651F">
        <w:t xml:space="preserve">(KLASA: UP/I-344-01/26-08/01, URBROJ: 376-05-1-26-04; dalje: </w:t>
      </w:r>
      <w:r w:rsidR="002002C8" w:rsidRPr="00E5651F">
        <w:t>Z</w:t>
      </w:r>
      <w:r w:rsidR="00B32F87" w:rsidRPr="00E5651F">
        <w:t xml:space="preserve">aključak) </w:t>
      </w:r>
      <w:r w:rsidRPr="00E5651F">
        <w:t xml:space="preserve">kojim se pokreće postupak ocjene dopuštenosti koncentracije, s obzirom </w:t>
      </w:r>
      <w:r w:rsidR="001B04A3">
        <w:t xml:space="preserve">na to </w:t>
      </w:r>
      <w:r w:rsidRPr="00E5651F">
        <w:t>da je utvrđeno da bi koncentracija mogla imati značajan učinak na ostvarivanje regulatornih ciljeva iz članka 7. ZEK-a</w:t>
      </w:r>
      <w:r w:rsidR="009B0D67">
        <w:t>,</w:t>
      </w:r>
      <w:r w:rsidRPr="00E5651F">
        <w:t xml:space="preserve"> </w:t>
      </w:r>
      <w:r w:rsidRPr="007E20DF">
        <w:t>osobito u odnosu na mjerodavna tržišta veleprodajnog lokalnog pristupa i veleprodajnog središnjeg pristupa vrlo velikog kapaciteta na razini pojedinih geografskih jedinica.</w:t>
      </w:r>
      <w:r w:rsidR="00FD7B45" w:rsidRPr="007E20DF">
        <w:t xml:space="preserve"> Nastavno na već</w:t>
      </w:r>
      <w:r w:rsidR="00944BA8" w:rsidRPr="007E20DF" w:rsidDel="00BD7A6A">
        <w:t xml:space="preserve"> </w:t>
      </w:r>
      <w:r w:rsidR="00BD7A6A" w:rsidRPr="007E20DF">
        <w:t>utvrđene moguće</w:t>
      </w:r>
      <w:r w:rsidR="00944BA8" w:rsidRPr="007E20DF">
        <w:t xml:space="preserve"> negativne učinke koncentracije, HAKOM je u ovom postupku dodatno ispitao jesu li potrebne odgovarajuće mjere</w:t>
      </w:r>
      <w:r w:rsidR="00F535DE">
        <w:t xml:space="preserve">, uvjeti i rokovi </w:t>
      </w:r>
      <w:r w:rsidR="00944BA8" w:rsidRPr="007E20DF">
        <w:t>kako bi se spriječilo narušavanje tržišnog natjecanja i osigurala zaštita krajnjih korisnika</w:t>
      </w:r>
      <w:r w:rsidR="001B04A3" w:rsidRPr="007E20DF">
        <w:t>.</w:t>
      </w:r>
    </w:p>
    <w:p w14:paraId="2A5E7843" w14:textId="77777777" w:rsidR="00BD150B" w:rsidRPr="00E5651F" w:rsidRDefault="00BD150B" w:rsidP="00A66BC1">
      <w:pPr>
        <w:jc w:val="both"/>
      </w:pPr>
    </w:p>
    <w:p w14:paraId="33E178FC" w14:textId="2E92D4A2" w:rsidR="003D0E8A" w:rsidRPr="00E5651F" w:rsidRDefault="00A22D1B" w:rsidP="003D0E8A">
      <w:pPr>
        <w:pStyle w:val="ListParagraph"/>
        <w:numPr>
          <w:ilvl w:val="0"/>
          <w:numId w:val="8"/>
        </w:numPr>
        <w:jc w:val="both"/>
        <w:rPr>
          <w:i/>
        </w:rPr>
      </w:pPr>
      <w:r w:rsidRPr="00E5651F">
        <w:rPr>
          <w:i/>
        </w:rPr>
        <w:t>Mjerodavna tržišta</w:t>
      </w:r>
    </w:p>
    <w:p w14:paraId="767E7CBF" w14:textId="710DF611" w:rsidR="008E01DF" w:rsidRPr="00E5651F" w:rsidRDefault="008E01DF" w:rsidP="00BD3718">
      <w:pPr>
        <w:spacing w:before="100" w:beforeAutospacing="1" w:after="100" w:afterAutospacing="1"/>
        <w:jc w:val="both"/>
      </w:pPr>
      <w:r w:rsidRPr="00E5651F">
        <w:lastRenderedPageBreak/>
        <w:t xml:space="preserve">Prilikom ocjene učinaka predmetne koncentracije na ostvarivanje regulatornih ciljeva iz članka 7. ZEK-a, osobito u pogledu sprječavanja narušavanja ili ograničavanja tržišnog natjecanja, HAKOM je uzeo u obzir zaključke i kriterije iz važećih analiza mjerodavnih tržišta na kojima dolazi do </w:t>
      </w:r>
      <w:r w:rsidR="00EA068B">
        <w:t>koncentracije</w:t>
      </w:r>
      <w:r w:rsidRPr="00E5651F">
        <w:t>.</w:t>
      </w:r>
      <w:r w:rsidRPr="00E5651F" w:rsidDel="005C08B3">
        <w:t xml:space="preserve"> </w:t>
      </w:r>
    </w:p>
    <w:p w14:paraId="41C569AA" w14:textId="77777777" w:rsidR="00F00DAC" w:rsidRDefault="00BC2B59" w:rsidP="00F202C5">
      <w:pPr>
        <w:spacing w:before="100" w:beforeAutospacing="1" w:after="100" w:afterAutospacing="1"/>
        <w:jc w:val="both"/>
        <w:rPr>
          <w:highlight w:val="yellow"/>
        </w:rPr>
      </w:pPr>
      <w:r w:rsidRPr="00E5651F">
        <w:t xml:space="preserve">HAKOM je pritom imao u vidu da je HT već određen operatorom sa značajnom tržišnom snagom na više mjerodavnih </w:t>
      </w:r>
      <w:r w:rsidR="00DB0550">
        <w:t xml:space="preserve">tržišta. Slijedom toga, </w:t>
      </w:r>
      <w:r w:rsidRPr="00E5651F">
        <w:t xml:space="preserve">potrebno </w:t>
      </w:r>
      <w:r w:rsidR="00DB0550">
        <w:t xml:space="preserve">je </w:t>
      </w:r>
      <w:r w:rsidRPr="00E5651F">
        <w:t>procijeniti može li predmetna koncentracija dodatno ojačati tržišni položaj HT-a, smanjiti mogućnosti učinkovitog tržišnog natjecanja ili na drugi način utjecati na ostvarivanje regulatornih ciljeva propisanih člankom 7. ZEK-a.</w:t>
      </w:r>
      <w:r w:rsidR="00F202C5" w:rsidRPr="00F202C5">
        <w:rPr>
          <w:highlight w:val="yellow"/>
        </w:rPr>
        <w:t xml:space="preserve"> </w:t>
      </w:r>
    </w:p>
    <w:p w14:paraId="003CB627" w14:textId="37736515" w:rsidR="00F00DAC" w:rsidRDefault="00F00DAC" w:rsidP="00F202C5">
      <w:pPr>
        <w:spacing w:before="100" w:beforeAutospacing="1" w:after="100" w:afterAutospacing="1"/>
        <w:jc w:val="both"/>
        <w:rPr>
          <w:highlight w:val="yellow"/>
        </w:rPr>
      </w:pPr>
      <w:r w:rsidRPr="00F00DAC">
        <w:t xml:space="preserve">U tom smislu, HAKOM će u nastavku razmotriti tržišne udjele sudionika koncentracije na mjerodavnim tržištima na kojima </w:t>
      </w:r>
      <w:r w:rsidR="00F41F9E">
        <w:t xml:space="preserve">sudionici koncentracije djeluju, </w:t>
      </w:r>
      <w:r w:rsidRPr="00F00DAC">
        <w:t>postojeću razinu infrastrukturne konkurencije</w:t>
      </w:r>
      <w:r w:rsidR="00F41F9E" w:rsidRPr="00F41F9E">
        <w:t xml:space="preserve"> </w:t>
      </w:r>
      <w:r w:rsidR="00F41F9E">
        <w:t xml:space="preserve">i </w:t>
      </w:r>
      <w:r w:rsidR="00F41F9E" w:rsidRPr="00F00DAC">
        <w:t>mogućnost replikacije postojeće infrastrukture</w:t>
      </w:r>
      <w:r w:rsidRPr="00F00DAC">
        <w:t>, rasprostranjenost i pokrivenost svjetlovodne infrastrukture, broj korisnika i položaj Pro Ping</w:t>
      </w:r>
      <w:r w:rsidR="0050413C">
        <w:t>a</w:t>
      </w:r>
      <w:r w:rsidRPr="00F00DAC">
        <w:t xml:space="preserve"> na područjima na kojima je prisutan te </w:t>
      </w:r>
      <w:r w:rsidR="00F41F9E">
        <w:t>utjecaj predmetne koncentracije na tržišno natjecanje i</w:t>
      </w:r>
      <w:r w:rsidR="00F41F9E" w:rsidRPr="00F41F9E">
        <w:t xml:space="preserve"> ostvarivanje regulatornih ciljeva propisanih člankom 7. ZEK-a </w:t>
      </w:r>
      <w:r w:rsidR="00F41F9E">
        <w:t>na mjerodavnim tržištima</w:t>
      </w:r>
      <w:r w:rsidRPr="00F00DAC">
        <w:t xml:space="preserve">. </w:t>
      </w:r>
    </w:p>
    <w:p w14:paraId="37D575CA" w14:textId="5D44C6B0" w:rsidR="00944BA8" w:rsidRPr="00F202C5" w:rsidRDefault="00F202C5" w:rsidP="00BC2B59">
      <w:pPr>
        <w:spacing w:before="100" w:beforeAutospacing="1" w:after="100" w:afterAutospacing="1"/>
        <w:jc w:val="both"/>
        <w:rPr>
          <w:i/>
        </w:rPr>
      </w:pPr>
      <w:r w:rsidRPr="00F202C5">
        <w:rPr>
          <w:i/>
        </w:rPr>
        <w:t>Tržište</w:t>
      </w:r>
      <w:r w:rsidR="00DB0550" w:rsidRPr="00F202C5">
        <w:rPr>
          <w:i/>
        </w:rPr>
        <w:t xml:space="preserve"> veleprodajnih prijenosnih segmena</w:t>
      </w:r>
      <w:r w:rsidR="004F7DBD">
        <w:rPr>
          <w:i/>
        </w:rPr>
        <w:t>ta usluga zajamčenog kapaciteta</w:t>
      </w:r>
      <w:r w:rsidR="00DB0550" w:rsidRPr="00F202C5">
        <w:rPr>
          <w:i/>
        </w:rPr>
        <w:t xml:space="preserve"> </w:t>
      </w:r>
    </w:p>
    <w:p w14:paraId="0D29EB70" w14:textId="58502D77" w:rsidR="00F202C5" w:rsidRDefault="00345816" w:rsidP="00F202C5">
      <w:pPr>
        <w:spacing w:before="100" w:beforeAutospacing="1" w:after="100" w:afterAutospacing="1"/>
        <w:jc w:val="both"/>
      </w:pPr>
      <w:r w:rsidRPr="00345816">
        <w:t xml:space="preserve">Mjerodavno tržište veleprodajnih prijenosnih segmenata usluga zajamčenog kapaciteta utvrđeno je </w:t>
      </w:r>
      <w:r w:rsidRPr="00156819">
        <w:rPr>
          <w:i/>
        </w:rPr>
        <w:t>Analizom tržišta veleprodajnih prijenosnih segmenata usluga zajamčenog kapaciteta</w:t>
      </w:r>
      <w:r w:rsidRPr="00345816">
        <w:t>, koja je sastavni dio odluke HAKOM-a od 26. lipnja 2025. (KLASA: UP/I-344-01/23-03/02, URBROJ: 376-05-1-25-34).</w:t>
      </w:r>
      <w:r w:rsidR="00156819">
        <w:t xml:space="preserve"> </w:t>
      </w:r>
      <w:r w:rsidRPr="00345816">
        <w:t xml:space="preserve">U </w:t>
      </w:r>
      <w:r w:rsidR="00156819">
        <w:t>toj</w:t>
      </w:r>
      <w:r w:rsidRPr="00345816">
        <w:t xml:space="preserve"> analizi HAKOM je, s obzirom na zemljopisnu dimenziju tržišta, tržište </w:t>
      </w:r>
      <w:r>
        <w:t>podijelio</w:t>
      </w:r>
      <w:r w:rsidR="00F202C5">
        <w:t xml:space="preserve"> na relacije na kojima „postoji konkurencija“ i relacije na kojima „ne postoji konkurencija“ te je proveo postupak testa tri mjerila iz članka 100. stavka 2. ZEK-a. </w:t>
      </w:r>
    </w:p>
    <w:p w14:paraId="2D3CDAEF" w14:textId="068D3279" w:rsidR="00F202C5" w:rsidRDefault="00345816">
      <w:pPr>
        <w:jc w:val="both"/>
      </w:pPr>
      <w:r w:rsidRPr="00345816">
        <w:lastRenderedPageBreak/>
        <w:t>Prema rezultati</w:t>
      </w:r>
      <w:r w:rsidR="006831C2">
        <w:t xml:space="preserve">ma tog testa utvrđeno je da je </w:t>
      </w:r>
      <w:r w:rsidR="006831C2" w:rsidRPr="006831C2">
        <w:rPr>
          <w:i/>
        </w:rPr>
        <w:t>T</w:t>
      </w:r>
      <w:r w:rsidRPr="006831C2">
        <w:rPr>
          <w:i/>
        </w:rPr>
        <w:t>ržište veleprodajnih prijenosnih segmenata usluga zajamčenog kapaciteta – nekonkurentne relacije</w:t>
      </w:r>
      <w:r w:rsidRPr="00345816">
        <w:t xml:space="preserve"> podložno prethodnoj regulaciji, budući da su na tom tržištu istodobno zadovoljena sva tri mjerila</w:t>
      </w:r>
      <w:r w:rsidR="006831C2" w:rsidRPr="006831C2">
        <w:t xml:space="preserve"> </w:t>
      </w:r>
      <w:r w:rsidR="006831C2">
        <w:t>iz članka 100. stavka 2. ZEK-a</w:t>
      </w:r>
      <w:r w:rsidRPr="00345816">
        <w:t>.</w:t>
      </w:r>
      <w:r>
        <w:t xml:space="preserve"> </w:t>
      </w:r>
      <w:r w:rsidR="00FC77AB">
        <w:t>Nakon provedene analize HAKOM je utvrdio kako HT na tržištu</w:t>
      </w:r>
      <w:r w:rsidR="00FC77AB" w:rsidRPr="00FC77AB">
        <w:t xml:space="preserve"> veleprodajnih prijenosnih segmenat</w:t>
      </w:r>
      <w:r w:rsidR="00FC77AB">
        <w:t xml:space="preserve">a usluga zajamčenog kapaciteta – nekonkurentne relacije ima vladajući položaj te je na istom tržištu HT određen operatorom sa značajnom tržišnom snagom. </w:t>
      </w:r>
      <w:r w:rsidRPr="00345816">
        <w:t xml:space="preserve">Slijedom toga, </w:t>
      </w:r>
      <w:r>
        <w:t xml:space="preserve">HT-u su </w:t>
      </w:r>
      <w:r w:rsidRPr="00345816">
        <w:t>određene sljedeće regulatorne obveze</w:t>
      </w:r>
      <w:r>
        <w:t xml:space="preserve">: </w:t>
      </w:r>
      <w:r w:rsidR="00F202C5">
        <w:t>obvez</w:t>
      </w:r>
      <w:r>
        <w:t>a</w:t>
      </w:r>
      <w:r w:rsidR="00F202C5">
        <w:t xml:space="preserve"> pristupa i korištenja posebnih mrežnih sastavnica i povezane opreme, obvez</w:t>
      </w:r>
      <w:r>
        <w:t>a</w:t>
      </w:r>
      <w:r w:rsidR="00F202C5">
        <w:t xml:space="preserve"> nediskriminacije, obvez</w:t>
      </w:r>
      <w:r>
        <w:t>a</w:t>
      </w:r>
      <w:r w:rsidR="00F202C5">
        <w:t xml:space="preserve"> transparentnosti uz obvezu objave standardne ponude, obvez</w:t>
      </w:r>
      <w:r>
        <w:t xml:space="preserve">a </w:t>
      </w:r>
      <w:r w:rsidR="00F202C5">
        <w:t>nadzora cijena i vođenja troškovnog računovodstva i obvez</w:t>
      </w:r>
      <w:r>
        <w:t>a</w:t>
      </w:r>
      <w:r w:rsidR="00F202C5">
        <w:t xml:space="preserve"> računovodstvenog razdvajanja.</w:t>
      </w:r>
    </w:p>
    <w:p w14:paraId="35BFA7CC" w14:textId="669BDC45" w:rsidR="00662713" w:rsidRPr="009D491F" w:rsidRDefault="002B69CE" w:rsidP="00F202C5">
      <w:pPr>
        <w:spacing w:before="100" w:beforeAutospacing="1" w:after="100" w:afterAutospacing="1"/>
        <w:jc w:val="both"/>
      </w:pPr>
      <w:r w:rsidRPr="002B69CE">
        <w:t>U odnosu</w:t>
      </w:r>
      <w:r w:rsidR="00AC3B34">
        <w:t xml:space="preserve"> na</w:t>
      </w:r>
      <w:r w:rsidRPr="002B69CE">
        <w:t xml:space="preserve"> </w:t>
      </w:r>
      <w:r>
        <w:t>ovo mjerodavno tržište</w:t>
      </w:r>
      <w:r w:rsidR="00D14E12">
        <w:t>, HAKOM je</w:t>
      </w:r>
      <w:r w:rsidR="008E307D" w:rsidRPr="008E307D">
        <w:t xml:space="preserve"> na temelju podataka kojima raspolaže te pokazatelja korištenih u važećim analizama mjerodavnih tržišta, utvrdio da predmetna koncentracija neće dovesti do jačanja značajne tržišne snage HT-a na način koji bi rezultirao narušavanjem ili ograničavanjem tržišnog natjecanja. </w:t>
      </w:r>
      <w:r w:rsidR="00AE548A">
        <w:t>Naime, uvidom u podatke na temelju kojih se procjenjivala konkure</w:t>
      </w:r>
      <w:r w:rsidR="00CF4D62">
        <w:t>ntnost pojedinih relacija prije</w:t>
      </w:r>
      <w:r w:rsidR="00AE548A">
        <w:t>nosnih segmenata u analizi tržišta velepr</w:t>
      </w:r>
      <w:r w:rsidR="00007B5A">
        <w:t>o</w:t>
      </w:r>
      <w:r w:rsidR="00AE548A">
        <w:t>dajnih prijenosnih segmenata usluga zajamčenog kapaciteta utvrđeno je da se ovom koncent</w:t>
      </w:r>
      <w:r w:rsidR="00007B5A">
        <w:t>r</w:t>
      </w:r>
      <w:r w:rsidR="00AE548A">
        <w:t xml:space="preserve">acijom, odnosno preuzimanjem infrastrukture Pro </w:t>
      </w:r>
      <w:r w:rsidR="00AE03BA">
        <w:t>P</w:t>
      </w:r>
      <w:r w:rsidR="00AE548A">
        <w:t>inga ne mijenjaju zaključci o konkurentnosti, odnosno nekonkurentnosti pojedinih relacija</w:t>
      </w:r>
      <w:r w:rsidR="007E2BD7">
        <w:t>, jer su sve relacij</w:t>
      </w:r>
      <w:r w:rsidR="00AE03BA">
        <w:t>e</w:t>
      </w:r>
      <w:r w:rsidR="007E2BD7">
        <w:t xml:space="preserve"> prijenosnih segmenata u mreži Pro Ping</w:t>
      </w:r>
      <w:r w:rsidR="00AE03BA">
        <w:t>-a</w:t>
      </w:r>
      <w:r w:rsidR="007E2BD7">
        <w:t xml:space="preserve"> povezane iznajmljenim vodovima drugih operatora</w:t>
      </w:r>
      <w:r w:rsidR="00007CE0">
        <w:t xml:space="preserve"> i to operatora koji nisu dio HT grupe</w:t>
      </w:r>
      <w:r w:rsidR="00AE548A">
        <w:t xml:space="preserve">. </w:t>
      </w:r>
    </w:p>
    <w:p w14:paraId="1444C07A" w14:textId="2F3C4213" w:rsidR="00F202C5" w:rsidRPr="00F202C5" w:rsidRDefault="00F202C5" w:rsidP="00F202C5">
      <w:pPr>
        <w:spacing w:before="100" w:beforeAutospacing="1" w:after="100" w:afterAutospacing="1"/>
        <w:jc w:val="both"/>
        <w:rPr>
          <w:i/>
        </w:rPr>
      </w:pPr>
      <w:r w:rsidRPr="00F202C5">
        <w:rPr>
          <w:i/>
        </w:rPr>
        <w:t>Tržište veleprodajnog zajamčenog kapaciteta</w:t>
      </w:r>
    </w:p>
    <w:p w14:paraId="5EFE6B32" w14:textId="75265B60" w:rsidR="00DD7725" w:rsidRDefault="00DD7725" w:rsidP="00DD7725">
      <w:pPr>
        <w:spacing w:before="100" w:beforeAutospacing="1" w:after="100" w:afterAutospacing="1"/>
        <w:jc w:val="both"/>
      </w:pPr>
      <w:r>
        <w:t xml:space="preserve">Tržište veleprodajnog zajamčenog kapaciteta utvrđeno je </w:t>
      </w:r>
      <w:r w:rsidRPr="003B6883">
        <w:rPr>
          <w:i/>
        </w:rPr>
        <w:t>Analizom tržišta veleprodajnog zajamčenog kapaciteta</w:t>
      </w:r>
      <w:r>
        <w:t xml:space="preserve">, koja je sastavni dio odluke Vijeća HAKOM-a od 26. lipnja 2025. (KLASA: UP/I-344-01/23-03/01, URBROJ: 376-05-1-25-84). U toj je analizi utvrđeno da HT </w:t>
      </w:r>
      <w:r w:rsidR="00CB3A68">
        <w:t xml:space="preserve">na tržištu veleprodajnog zajamčenog kapaciteta, koje je određeno kao nacionalno tržište, ima status operatora sa </w:t>
      </w:r>
      <w:r w:rsidR="00CB3A68">
        <w:lastRenderedPageBreak/>
        <w:t>značajnom tržišnom snagom</w:t>
      </w:r>
      <w:r>
        <w:t xml:space="preserve"> te su HT-u na tom tržištu određene regulatorne obveze pristupa, nediskriminacije, transparentnosti, nadzora cijena i vođenja troškovnog računovodstva te računovodstvenog razdvajanja.</w:t>
      </w:r>
    </w:p>
    <w:p w14:paraId="0350D13E" w14:textId="77777777" w:rsidR="009D491F" w:rsidRDefault="00CB3A68" w:rsidP="00191590">
      <w:pPr>
        <w:spacing w:before="100" w:beforeAutospacing="1" w:after="100" w:afterAutospacing="1"/>
        <w:jc w:val="both"/>
      </w:pPr>
      <w:r>
        <w:t xml:space="preserve">Prema podacima </w:t>
      </w:r>
      <w:r w:rsidR="000753EA">
        <w:t xml:space="preserve">HAKOM-a za kraj 2025. </w:t>
      </w:r>
      <w:r>
        <w:t>tržišni udio HT</w:t>
      </w:r>
      <w:r w:rsidR="00F62F9A">
        <w:t>-a</w:t>
      </w:r>
      <w:r>
        <w:t xml:space="preserve"> na maloprodajnoj razini </w:t>
      </w:r>
      <w:r w:rsidR="003B39C0">
        <w:t>(</w:t>
      </w:r>
      <w:r>
        <w:t>mjereno u broju priključnih točaka</w:t>
      </w:r>
      <w:r w:rsidR="003B39C0">
        <w:t>)</w:t>
      </w:r>
      <w:r>
        <w:t xml:space="preserve"> iznosi</w:t>
      </w:r>
      <w:r w:rsidR="000753EA">
        <w:t xml:space="preserve">o je nešto više </w:t>
      </w:r>
      <w:r w:rsidR="003B39C0">
        <w:t>od 49%</w:t>
      </w:r>
      <w:r w:rsidR="00F62F9A">
        <w:t>, dok je tržišni udio</w:t>
      </w:r>
      <w:r w:rsidR="003B39C0">
        <w:t xml:space="preserve"> Pro Pinga </w:t>
      </w:r>
      <w:r w:rsidR="00E86A6C">
        <w:t>neznatan</w:t>
      </w:r>
      <w:r w:rsidR="003B39C0">
        <w:t xml:space="preserve"> (0,27%</w:t>
      </w:r>
      <w:r w:rsidR="00F62F9A">
        <w:t>).</w:t>
      </w:r>
      <w:r w:rsidR="009D491F">
        <w:t xml:space="preserve"> </w:t>
      </w:r>
    </w:p>
    <w:p w14:paraId="55B4EC6D" w14:textId="7C6D2C7E" w:rsidR="00191590" w:rsidRDefault="003B39C0" w:rsidP="00191590">
      <w:pPr>
        <w:spacing w:before="100" w:beforeAutospacing="1" w:after="100" w:afterAutospacing="1"/>
        <w:jc w:val="both"/>
      </w:pPr>
      <w:r>
        <w:t>Iz navedenog proizlazi da</w:t>
      </w:r>
      <w:r w:rsidR="00F60683">
        <w:t xml:space="preserve"> </w:t>
      </w:r>
      <w:r w:rsidR="00191590" w:rsidRPr="006831C2">
        <w:t>pr</w:t>
      </w:r>
      <w:r w:rsidR="00806685">
        <w:t>edmetna koncentracija rezultira</w:t>
      </w:r>
      <w:r w:rsidR="00E86A6C">
        <w:t xml:space="preserve"> neznatnim</w:t>
      </w:r>
      <w:r w:rsidR="00F60683">
        <w:t xml:space="preserve"> </w:t>
      </w:r>
      <w:r w:rsidR="00191590" w:rsidRPr="006831C2">
        <w:t>poveća</w:t>
      </w:r>
      <w:r w:rsidR="00191590">
        <w:t xml:space="preserve">njem tržišnog udjela HT-a, </w:t>
      </w:r>
      <w:r w:rsidR="00F60683">
        <w:t xml:space="preserve">pa je </w:t>
      </w:r>
      <w:r w:rsidR="003B6883">
        <w:t>HAKOM u ovom postupku</w:t>
      </w:r>
      <w:r w:rsidR="00DD7725">
        <w:t xml:space="preserve"> </w:t>
      </w:r>
      <w:r w:rsidR="00FC77AB" w:rsidRPr="00FC77AB">
        <w:t xml:space="preserve">utvrdio da </w:t>
      </w:r>
      <w:r w:rsidR="00F60683">
        <w:t xml:space="preserve">takvo </w:t>
      </w:r>
      <w:r w:rsidR="00191590">
        <w:t>povećanje tržišnog udjela</w:t>
      </w:r>
      <w:r w:rsidR="00FC77AB" w:rsidRPr="00FC77AB">
        <w:t xml:space="preserve"> neće dovesti do jačanja značajne tržišne snage HT-a na način koji bi </w:t>
      </w:r>
      <w:r w:rsidR="003B6883">
        <w:t xml:space="preserve">utjecao na </w:t>
      </w:r>
      <w:r w:rsidR="00191590">
        <w:t xml:space="preserve">promjenu </w:t>
      </w:r>
      <w:r w:rsidR="003B6883">
        <w:t>status</w:t>
      </w:r>
      <w:r w:rsidR="00191590">
        <w:t>a</w:t>
      </w:r>
      <w:r w:rsidR="003B6883">
        <w:t xml:space="preserve"> značajne tržišne snage</w:t>
      </w:r>
      <w:r w:rsidR="00191590">
        <w:t xml:space="preserve"> HT-a</w:t>
      </w:r>
      <w:r w:rsidR="00ED312B">
        <w:t>.</w:t>
      </w:r>
    </w:p>
    <w:p w14:paraId="1FD66185" w14:textId="64F974C9" w:rsidR="002B69CE" w:rsidRPr="002B69CE" w:rsidRDefault="002B69CE" w:rsidP="002B69CE">
      <w:pPr>
        <w:spacing w:before="100" w:beforeAutospacing="1" w:after="100" w:afterAutospacing="1"/>
        <w:jc w:val="both"/>
        <w:rPr>
          <w:i/>
        </w:rPr>
      </w:pPr>
      <w:r w:rsidRPr="002B69CE">
        <w:rPr>
          <w:i/>
        </w:rPr>
        <w:t>Tržišta veleprodajnog lokalnog pristupa koji se pruža na fiksnoj lokaciji i Tržište veleprodajnog središnjeg pristupa koji se pruža na fiksnoj lokaciji za proizvode za masovno tržište</w:t>
      </w:r>
    </w:p>
    <w:p w14:paraId="47BA3F8D" w14:textId="2B1ED759" w:rsidR="00BD3718" w:rsidRPr="002B69CE" w:rsidRDefault="00BD3718" w:rsidP="00BD3718">
      <w:pPr>
        <w:spacing w:before="100" w:beforeAutospacing="1" w:after="100" w:afterAutospacing="1"/>
        <w:jc w:val="both"/>
      </w:pPr>
      <w:r w:rsidRPr="002B69CE">
        <w:t xml:space="preserve">HAKOM je u </w:t>
      </w:r>
      <w:r w:rsidRPr="002B69CE">
        <w:rPr>
          <w:i/>
        </w:rPr>
        <w:t>analizi tržišta veleprodajnog lokalnog pristupa koji se pruža na fiksnoj lokaciji</w:t>
      </w:r>
      <w:r w:rsidRPr="002B69CE">
        <w:t xml:space="preserve"> (dalje: analiza M1/2020)</w:t>
      </w:r>
      <w:r w:rsidRPr="002B69CE">
        <w:rPr>
          <w:vertAlign w:val="superscript"/>
        </w:rPr>
        <w:footnoteReference w:id="3"/>
      </w:r>
      <w:r w:rsidRPr="002B69CE">
        <w:t xml:space="preserve"> i </w:t>
      </w:r>
      <w:r w:rsidRPr="002B69CE">
        <w:rPr>
          <w:i/>
        </w:rPr>
        <w:t>analizi tržišta veleprodajnog središnjeg pristupa koji se pruža na fiksnoj lokaciji za proizvode za masovno tržište</w:t>
      </w:r>
      <w:r w:rsidRPr="002B69CE" w:rsidDel="00DC75BE">
        <w:t xml:space="preserve"> </w:t>
      </w:r>
      <w:r w:rsidRPr="002B69CE">
        <w:t>(dalje: analiza M3b/2014)</w:t>
      </w:r>
      <w:r w:rsidRPr="002B69CE">
        <w:rPr>
          <w:vertAlign w:val="superscript"/>
        </w:rPr>
        <w:footnoteReference w:id="4"/>
      </w:r>
      <w:r w:rsidR="00C75803" w:rsidRPr="002B69CE">
        <w:t xml:space="preserve"> proveo </w:t>
      </w:r>
      <w:r w:rsidRPr="002B69CE">
        <w:t xml:space="preserve">segmentaciju tržišta prema tehnologijama, odnosno tržište je podijeljeno na tržište malog kapaciteta i tržište velikog kapaciteta. Za tržište velikog kapaciteta, HAKOM je proveo detaljnu geografsku analizu te je na temelju provedene analize utvrdio geografsku segmentaciju tržišta na razini pojedine jedinice lokalne samouprave (grada/općine/gradske četvrti Grada Zagreba), čime je prema odabranim kriterijima pojedine geografske jedinice grupirao u zasebna geografska tržišta: </w:t>
      </w:r>
      <w:r w:rsidRPr="002B69CE">
        <w:rPr>
          <w:i/>
        </w:rPr>
        <w:t xml:space="preserve">Tržište </w:t>
      </w:r>
      <w:r w:rsidRPr="002B69CE">
        <w:rPr>
          <w:i/>
        </w:rPr>
        <w:lastRenderedPageBreak/>
        <w:t>velikog kapaciteta - konkurentna područja</w:t>
      </w:r>
      <w:r w:rsidRPr="002B69CE">
        <w:t xml:space="preserve"> i </w:t>
      </w:r>
      <w:r w:rsidRPr="002B69CE">
        <w:rPr>
          <w:i/>
        </w:rPr>
        <w:t>Tržište velikog kapaciteta - nekonkurentna područja</w:t>
      </w:r>
      <w:r w:rsidRPr="002B69CE">
        <w:t xml:space="preserve">. Proveden je test tri mjerila za oba tržišta te je zaključeno kako je </w:t>
      </w:r>
      <w:r w:rsidR="00C724B5">
        <w:t>T</w:t>
      </w:r>
      <w:r w:rsidRPr="002B69CE">
        <w:t>ržište velikog kapaciteta - nekonkurentna područja podložno prethodnoj regulaciji te je HT određen operatorom sa značajnom tržišnom snagom.</w:t>
      </w:r>
    </w:p>
    <w:p w14:paraId="04624FF4" w14:textId="6B5569AC" w:rsidR="009D491F" w:rsidRDefault="001F7A1E" w:rsidP="00BD150B">
      <w:pPr>
        <w:spacing w:before="100" w:beforeAutospacing="1" w:after="100" w:afterAutospacing="1"/>
        <w:jc w:val="both"/>
      </w:pPr>
      <w:r w:rsidRPr="00323610">
        <w:t xml:space="preserve">Provedbom koncentracije dolazi do preuzimanja </w:t>
      </w:r>
      <w:r>
        <w:t>infrastrukture i korisničke baze Pro Pinga</w:t>
      </w:r>
      <w:r w:rsidRPr="00323610">
        <w:t xml:space="preserve">, </w:t>
      </w:r>
      <w:r>
        <w:t xml:space="preserve">uslijed čega bi se tržišni udio </w:t>
      </w:r>
      <w:r w:rsidRPr="00323610">
        <w:t xml:space="preserve">HT‑a na </w:t>
      </w:r>
      <w:r w:rsidRPr="00F507D8">
        <w:rPr>
          <w:i/>
        </w:rPr>
        <w:t>Tržištu velikog kapaciteta</w:t>
      </w:r>
      <w:r>
        <w:rPr>
          <w:i/>
        </w:rPr>
        <w:t xml:space="preserve"> – nekonkurentn</w:t>
      </w:r>
      <w:r w:rsidR="009215F9">
        <w:rPr>
          <w:i/>
        </w:rPr>
        <w:t xml:space="preserve">a područja </w:t>
      </w:r>
      <w:r>
        <w:t xml:space="preserve">povećao </w:t>
      </w:r>
      <w:r w:rsidRPr="00B535AF">
        <w:t>za 6,61%</w:t>
      </w:r>
      <w:r w:rsidRPr="00B535AF">
        <w:rPr>
          <w:rStyle w:val="FootnoteReference"/>
        </w:rPr>
        <w:footnoteReference w:id="5"/>
      </w:r>
      <w:r w:rsidRPr="00B535AF">
        <w:t>.</w:t>
      </w:r>
      <w:r>
        <w:t xml:space="preserve"> </w:t>
      </w:r>
      <w:r w:rsidR="00C21AE4">
        <w:t>Nadalje, p</w:t>
      </w:r>
      <w:r w:rsidR="00BD3718" w:rsidRPr="002B69CE">
        <w:t>rema podacima s kraja 2024.</w:t>
      </w:r>
      <w:r w:rsidR="00BD3718" w:rsidRPr="002B69CE">
        <w:rPr>
          <w:vertAlign w:val="superscript"/>
        </w:rPr>
        <w:footnoteReference w:id="6"/>
      </w:r>
      <w:r w:rsidR="00BD3718" w:rsidRPr="002B69CE">
        <w:t xml:space="preserve">, primjenjujući kriterije definirane u važećim analizama tržišta </w:t>
      </w:r>
      <w:r w:rsidR="00BD3718" w:rsidRPr="00806685">
        <w:t xml:space="preserve">M1/2020 </w:t>
      </w:r>
      <w:r w:rsidR="00B535AF">
        <w:t xml:space="preserve">i </w:t>
      </w:r>
      <w:r w:rsidR="00BD3718" w:rsidRPr="002B69CE">
        <w:t xml:space="preserve">M3b/2014, utvrđeno je da predmetnom koncentracijom u 15 geografskih jedinica, od ukupno 27 na kojima dolazi do </w:t>
      </w:r>
      <w:r w:rsidR="00EA068B">
        <w:t>koncentracije</w:t>
      </w:r>
      <w:r w:rsidR="00BD3718" w:rsidRPr="002B69CE">
        <w:t>, nisu istodobno zadovoljena sva tri kriterija za utvrđivanje konkurentnih uvjeta.</w:t>
      </w:r>
      <w:r w:rsidR="008F600E">
        <w:t xml:space="preserve"> </w:t>
      </w:r>
      <w:r>
        <w:t>Popis navedenih geografskih jedinica nalazi se u Privitku 1 ovog rješenja. S o</w:t>
      </w:r>
      <w:r w:rsidRPr="00323610">
        <w:t xml:space="preserve">bzirom na to da se radi o područjima na kojima HT do sada nije imao značajnu tržišnu snagu, </w:t>
      </w:r>
      <w:r w:rsidRPr="00BA6DEC">
        <w:t xml:space="preserve">preuzimanje infrastrukture </w:t>
      </w:r>
      <w:r>
        <w:t xml:space="preserve">Pro Pinga </w:t>
      </w:r>
      <w:r w:rsidRPr="00BA6DEC">
        <w:t xml:space="preserve">dovodi do </w:t>
      </w:r>
      <w:r>
        <w:t>jačanja</w:t>
      </w:r>
      <w:r w:rsidRPr="00BA6DEC">
        <w:t xml:space="preserve"> njegove tržišne</w:t>
      </w:r>
      <w:r>
        <w:t xml:space="preserve"> snage</w:t>
      </w:r>
      <w:r w:rsidRPr="00BA6DEC">
        <w:t xml:space="preserve"> u dijelovima tržišta gdje konkurentni uvjeti nisu zadovoljeni, što smanjuje </w:t>
      </w:r>
      <w:r>
        <w:t>konkurentski pritisak</w:t>
      </w:r>
      <w:r w:rsidRPr="00BA6DEC">
        <w:t xml:space="preserve"> i otežava tržišni nastup alternativnih operatora.</w:t>
      </w:r>
      <w:r>
        <w:t xml:space="preserve"> </w:t>
      </w:r>
      <w:r w:rsidR="00EF1134">
        <w:t xml:space="preserve">Stoga je potrebno </w:t>
      </w:r>
      <w:r w:rsidR="00BA6DEC" w:rsidRPr="00BA6DEC">
        <w:t xml:space="preserve">ocijeniti </w:t>
      </w:r>
      <w:r w:rsidR="00C724B5">
        <w:t>može li ovakvo jačanje tržišne snage HT‑a utjecati na ostvarivanje ciljeva vezanih uz promicanje tržišnog natjecanja, razvoj infrastrukture i zaštitu krajnjih korisnika.</w:t>
      </w:r>
      <w:r w:rsidR="00DD7725" w:rsidRPr="00DD7725">
        <w:t xml:space="preserve"> </w:t>
      </w:r>
    </w:p>
    <w:p w14:paraId="46C3D6EE" w14:textId="77777777" w:rsidR="009D491F" w:rsidRPr="00E5651F" w:rsidRDefault="009D491F" w:rsidP="00BD150B">
      <w:pPr>
        <w:spacing w:before="100" w:beforeAutospacing="1" w:after="100" w:afterAutospacing="1"/>
        <w:jc w:val="both"/>
      </w:pPr>
    </w:p>
    <w:p w14:paraId="78F5011C" w14:textId="7583E828" w:rsidR="003D0E8A" w:rsidRPr="00E5651F" w:rsidRDefault="00807A00" w:rsidP="003D0E8A">
      <w:pPr>
        <w:pStyle w:val="ListParagraph"/>
        <w:numPr>
          <w:ilvl w:val="0"/>
          <w:numId w:val="8"/>
        </w:numPr>
        <w:jc w:val="both"/>
        <w:rPr>
          <w:i/>
        </w:rPr>
      </w:pPr>
      <w:r>
        <w:rPr>
          <w:i/>
        </w:rPr>
        <w:t>Ocjena učinaka koncentracije</w:t>
      </w:r>
    </w:p>
    <w:p w14:paraId="4A58346A" w14:textId="30A10D2B" w:rsidR="00BD3718" w:rsidRPr="00E5651F" w:rsidRDefault="00BD3718" w:rsidP="00BD3718">
      <w:pPr>
        <w:jc w:val="both"/>
      </w:pPr>
    </w:p>
    <w:p w14:paraId="2D82F9F9" w14:textId="50B6B3D4" w:rsidR="003D0E8A" w:rsidRPr="00E5651F" w:rsidRDefault="00446DD4" w:rsidP="003D0E8A">
      <w:pPr>
        <w:jc w:val="both"/>
      </w:pPr>
      <w:r w:rsidRPr="00E5651F">
        <w:t xml:space="preserve">HAKOM je u Zaključku </w:t>
      </w:r>
      <w:r w:rsidR="003D0E8A" w:rsidRPr="00E5651F">
        <w:t>utvrdio da bi predmetna koncentracija mogla imati značajan učinak na tržišno natjecanje i ostvarivanje regulatornih ciljeva iz članka 7. ZEK-a. U skladu s utvrđenim</w:t>
      </w:r>
      <w:r w:rsidR="006D54EE" w:rsidRPr="00E5651F">
        <w:t xml:space="preserve">, u postupku ocjene </w:t>
      </w:r>
      <w:r w:rsidR="001F71CD" w:rsidRPr="00E5651F">
        <w:t xml:space="preserve">dopuštenosti </w:t>
      </w:r>
      <w:r w:rsidR="006D54EE" w:rsidRPr="00E5651F">
        <w:t xml:space="preserve">koncentracije potrebno </w:t>
      </w:r>
      <w:r w:rsidR="00D26E9B">
        <w:t xml:space="preserve">je </w:t>
      </w:r>
      <w:r w:rsidR="006D54EE" w:rsidRPr="00E5651F">
        <w:t>utvrditi mogu li se na</w:t>
      </w:r>
      <w:r w:rsidR="00951B03">
        <w:t xml:space="preserve"> geografskim</w:t>
      </w:r>
      <w:r w:rsidR="006D54EE" w:rsidRPr="00E5651F">
        <w:t xml:space="preserve"> </w:t>
      </w:r>
      <w:r w:rsidR="00302A47">
        <w:t>područjima o</w:t>
      </w:r>
      <w:r w:rsidR="006D54EE" w:rsidRPr="00E5651F">
        <w:t xml:space="preserve">buhvaćenim koncentracijom pojaviti prepreke razvoju djelotvornog tržišnog natjecanja koje su već </w:t>
      </w:r>
      <w:r w:rsidR="0077394E">
        <w:t>prepoznate</w:t>
      </w:r>
      <w:r w:rsidR="006D54EE" w:rsidRPr="00E5651F">
        <w:t xml:space="preserve"> u važećim analizama tržišta </w:t>
      </w:r>
      <w:r w:rsidR="002A028A" w:rsidRPr="00DF6E37">
        <w:rPr>
          <w:color w:val="000000" w:themeColor="text1"/>
        </w:rPr>
        <w:t>M1/2020 i M3b/2014</w:t>
      </w:r>
      <w:r w:rsidR="002A028A">
        <w:rPr>
          <w:color w:val="000000" w:themeColor="text1"/>
        </w:rPr>
        <w:t xml:space="preserve"> </w:t>
      </w:r>
      <w:r w:rsidR="006D54EE" w:rsidRPr="00E5651F">
        <w:t xml:space="preserve">te </w:t>
      </w:r>
      <w:r w:rsidR="00307F5E">
        <w:t>postoje li razlozi za određivanje</w:t>
      </w:r>
      <w:r w:rsidR="006D54EE" w:rsidRPr="00E5651F">
        <w:t xml:space="preserve"> </w:t>
      </w:r>
      <w:r w:rsidR="00307F5E" w:rsidRPr="00E5651F">
        <w:t>odgovarajuć</w:t>
      </w:r>
      <w:r w:rsidR="00307F5E">
        <w:t>ih</w:t>
      </w:r>
      <w:r w:rsidR="00307F5E" w:rsidRPr="00E5651F">
        <w:t xml:space="preserve"> mjer</w:t>
      </w:r>
      <w:r w:rsidR="00307F5E">
        <w:t>a</w:t>
      </w:r>
      <w:r w:rsidR="008F6A16">
        <w:t>, uvjeta i rokova</w:t>
      </w:r>
      <w:r w:rsidR="00307F5E" w:rsidRPr="00E5651F">
        <w:t xml:space="preserve"> </w:t>
      </w:r>
      <w:r w:rsidR="006D54EE" w:rsidRPr="00E5651F">
        <w:t>radi njihova</w:t>
      </w:r>
      <w:r w:rsidR="00307F5E">
        <w:t xml:space="preserve"> sprječavanja,</w:t>
      </w:r>
      <w:r w:rsidR="006D54EE" w:rsidRPr="00E5651F">
        <w:t xml:space="preserve"> uklanjanja ili ublažavanja.</w:t>
      </w:r>
    </w:p>
    <w:p w14:paraId="3AFE04B7" w14:textId="37310288" w:rsidR="004757A5" w:rsidRDefault="004757A5" w:rsidP="003D0E8A">
      <w:pPr>
        <w:jc w:val="both"/>
      </w:pPr>
    </w:p>
    <w:p w14:paraId="170AE19A" w14:textId="4E634FB4" w:rsidR="00CC5E0A" w:rsidRPr="00E5651F" w:rsidRDefault="006D54EE" w:rsidP="00CC5E0A">
      <w:pPr>
        <w:jc w:val="both"/>
      </w:pPr>
      <w:r w:rsidRPr="00E5651F">
        <w:t>U analizama tržišta M1/2020 i M3b/2014</w:t>
      </w:r>
      <w:r w:rsidR="00F35FAA" w:rsidRPr="00E5651F">
        <w:t xml:space="preserve"> </w:t>
      </w:r>
      <w:r w:rsidR="00CC5E0A" w:rsidRPr="00E5651F">
        <w:t xml:space="preserve">HAKOM je utvrdio da se </w:t>
      </w:r>
      <w:r w:rsidR="00F35FAA" w:rsidRPr="00E5651F">
        <w:t>na tržištima na kojima jedan operator kontrol</w:t>
      </w:r>
      <w:r w:rsidR="001F71CD" w:rsidRPr="00E5651F">
        <w:t>i</w:t>
      </w:r>
      <w:r w:rsidR="00F35FAA" w:rsidRPr="00E5651F">
        <w:t xml:space="preserve">ra </w:t>
      </w:r>
      <w:r w:rsidR="00B92E14" w:rsidRPr="00B92E14">
        <w:t>ključnu velep</w:t>
      </w:r>
      <w:r w:rsidR="00B92E14" w:rsidRPr="00237CDE">
        <w:t>rodajn</w:t>
      </w:r>
      <w:r w:rsidR="00B92E14" w:rsidRPr="00B92E14">
        <w:t>u u</w:t>
      </w:r>
      <w:r w:rsidR="00B92E14" w:rsidRPr="00237CDE">
        <w:t>sl</w:t>
      </w:r>
      <w:r w:rsidR="00B92E14" w:rsidRPr="007275AE">
        <w:t>ugu</w:t>
      </w:r>
      <w:r w:rsidR="00CC5E0A" w:rsidRPr="00E5651F">
        <w:t xml:space="preserve"> za pružanje </w:t>
      </w:r>
      <w:r w:rsidR="00F35FAA" w:rsidRPr="00E5651F">
        <w:t xml:space="preserve">maloprodajnih </w:t>
      </w:r>
      <w:r w:rsidR="00CC5E0A" w:rsidRPr="00E5651F">
        <w:t>usluga krajnjim korisnicima</w:t>
      </w:r>
      <w:r w:rsidR="00F35FAA" w:rsidRPr="00E5651F">
        <w:t xml:space="preserve"> mogu pojaviti različiti oblici ponašanja koji ograničavaju razvoj djelotvornog tržišnog natjecanja</w:t>
      </w:r>
      <w:r w:rsidR="00CC5E0A" w:rsidRPr="00E5651F">
        <w:t xml:space="preserve">. Kao </w:t>
      </w:r>
      <w:r w:rsidRPr="00E5651F">
        <w:t>potencijalne prepreke koje se u odsustvu regulacije mogu pojaviti prepoznate su</w:t>
      </w:r>
      <w:r w:rsidR="00CC5E0A" w:rsidRPr="00E5651F">
        <w:t>: odbijanje dogovora ili uskraćivanje pristupa, diskriminirajuće korištenje ili uskraćivanje informacija, taktike odgađanja, neopravdani zahtjevi, diskriminacija kakvoćom usluge te cjenovne prakse koje mogu dovesti do istiskivanja marže i prenošenja tržišne snage s veleprodajne na maloprodajnu razinu.</w:t>
      </w:r>
    </w:p>
    <w:p w14:paraId="266D19CD" w14:textId="1A9120A7" w:rsidR="006D54EE" w:rsidRPr="00E5651F" w:rsidRDefault="00F7006D" w:rsidP="00CC5E0A">
      <w:pPr>
        <w:jc w:val="both"/>
      </w:pPr>
      <w:r w:rsidRPr="00CF2045">
        <w:t xml:space="preserve">HAKOM </w:t>
      </w:r>
      <w:r w:rsidR="006D54EE" w:rsidRPr="00CF2045">
        <w:t xml:space="preserve">je </w:t>
      </w:r>
      <w:r w:rsidR="00002673">
        <w:t>u tim analizama</w:t>
      </w:r>
      <w:r w:rsidR="00170039" w:rsidRPr="00CF2045">
        <w:t xml:space="preserve"> posebno naglasio da je na nekonkurentnim područjima</w:t>
      </w:r>
      <w:r w:rsidR="00170039" w:rsidRPr="00CF2045">
        <w:rPr>
          <w:vertAlign w:val="superscript"/>
        </w:rPr>
        <w:footnoteReference w:id="7"/>
      </w:r>
      <w:r w:rsidR="00170039" w:rsidRPr="00CF2045">
        <w:t xml:space="preserve"> </w:t>
      </w:r>
      <w:r w:rsidR="00A66BC1">
        <w:t xml:space="preserve">usluga </w:t>
      </w:r>
      <w:r w:rsidR="00CC5E0A" w:rsidRPr="002065C5">
        <w:rPr>
          <w:i/>
        </w:rPr>
        <w:t>bitstream</w:t>
      </w:r>
      <w:r w:rsidR="00CC5E0A" w:rsidRPr="00E5651F">
        <w:t xml:space="preserve"> pristup</w:t>
      </w:r>
      <w:r w:rsidR="00A66BC1">
        <w:t>a</w:t>
      </w:r>
      <w:r w:rsidR="00CC5E0A" w:rsidRPr="00E5651F">
        <w:t xml:space="preserve"> </w:t>
      </w:r>
      <w:r w:rsidR="007A225A" w:rsidRPr="00E5651F">
        <w:t xml:space="preserve">(dalje: NBSA) </w:t>
      </w:r>
      <w:r w:rsidR="00CC5E0A" w:rsidRPr="00E5651F">
        <w:t xml:space="preserve">ključan veleprodajni </w:t>
      </w:r>
      <w:r w:rsidR="00D55E47">
        <w:t xml:space="preserve">proizvod </w:t>
      </w:r>
      <w:r w:rsidR="00CC5E0A" w:rsidRPr="00E5651F">
        <w:t xml:space="preserve">za </w:t>
      </w:r>
      <w:r w:rsidR="00822C97">
        <w:t>razvoj</w:t>
      </w:r>
      <w:r w:rsidR="00822C97" w:rsidRPr="00E5651F">
        <w:t xml:space="preserve"> </w:t>
      </w:r>
      <w:r w:rsidR="006D54EE" w:rsidRPr="00E5651F">
        <w:t>djelotvornog</w:t>
      </w:r>
      <w:r w:rsidR="00CC5E0A" w:rsidRPr="00E5651F">
        <w:t xml:space="preserve"> tržišno</w:t>
      </w:r>
      <w:r w:rsidR="006D54EE" w:rsidRPr="00E5651F">
        <w:t>g natjecanja</w:t>
      </w:r>
      <w:r w:rsidR="00D55E47">
        <w:t xml:space="preserve"> na tržištu velikog kapaciteta na nekonkurentnim VHCN područjima</w:t>
      </w:r>
      <w:r w:rsidR="00CC5E0A" w:rsidRPr="00E5651F">
        <w:t xml:space="preserve">, upravo zbog nedostatka </w:t>
      </w:r>
      <w:r w:rsidR="006D54EE" w:rsidRPr="00E5651F">
        <w:t>dostatne</w:t>
      </w:r>
      <w:r w:rsidR="00CC5E0A" w:rsidRPr="00E5651F">
        <w:t xml:space="preserve"> infrastrukturne konkurencije, ograničenih mogućnosti replikacije postojeće infrastrukture i postojanja visokih i trajnih zapreka ulasku</w:t>
      </w:r>
      <w:r w:rsidR="006D54EE" w:rsidRPr="00E5651F">
        <w:t xml:space="preserve"> na tržište</w:t>
      </w:r>
      <w:r w:rsidR="00CC5E0A" w:rsidRPr="00E5651F">
        <w:t>.</w:t>
      </w:r>
      <w:r w:rsidR="00446DD4" w:rsidRPr="00E5651F">
        <w:t xml:space="preserve"> </w:t>
      </w:r>
    </w:p>
    <w:p w14:paraId="5F5CC78D" w14:textId="77777777" w:rsidR="00446DD4" w:rsidRPr="00E5651F" w:rsidRDefault="00446DD4" w:rsidP="00CC5E0A">
      <w:pPr>
        <w:jc w:val="both"/>
      </w:pPr>
    </w:p>
    <w:p w14:paraId="0281D676" w14:textId="740B3743" w:rsidR="00D26E9B" w:rsidRDefault="00CC5E0A" w:rsidP="00D26E9B">
      <w:pPr>
        <w:jc w:val="both"/>
      </w:pPr>
      <w:r w:rsidRPr="00E5651F">
        <w:lastRenderedPageBreak/>
        <w:t xml:space="preserve">U </w:t>
      </w:r>
      <w:r w:rsidR="00002673">
        <w:t>ovom je postupku</w:t>
      </w:r>
      <w:r w:rsidRPr="00E5651F">
        <w:t xml:space="preserve"> utvrđeno da na dijelu</w:t>
      </w:r>
      <w:r w:rsidRPr="00E5651F" w:rsidDel="00D26E9B">
        <w:t xml:space="preserve"> </w:t>
      </w:r>
      <w:r w:rsidRPr="00E5651F">
        <w:t xml:space="preserve">geografskih jedinica </w:t>
      </w:r>
      <w:r w:rsidR="00D26E9B">
        <w:t>na kojima dolazi do namjere pr</w:t>
      </w:r>
      <w:r w:rsidR="00EA068B">
        <w:t>euzimanja</w:t>
      </w:r>
      <w:r w:rsidR="00D26E9B">
        <w:t xml:space="preserve"> </w:t>
      </w:r>
      <w:r w:rsidRPr="00E5651F">
        <w:t xml:space="preserve">nakon provedbe koncentracije više nisu </w:t>
      </w:r>
      <w:r w:rsidR="00CF1CE4" w:rsidRPr="00E5651F">
        <w:t xml:space="preserve">zadovoljeni </w:t>
      </w:r>
      <w:r w:rsidRPr="00E5651F">
        <w:t xml:space="preserve">kriteriji koji prema važećim </w:t>
      </w:r>
      <w:r w:rsidR="00A17B83" w:rsidRPr="004757A5">
        <w:t>analizama tržišta M1/2020 i M3b/2014</w:t>
      </w:r>
      <w:r w:rsidR="00A17B83">
        <w:t xml:space="preserve"> </w:t>
      </w:r>
      <w:r w:rsidRPr="00E5651F">
        <w:t xml:space="preserve">upućuju na postojanje konkurentnih uvjeta. </w:t>
      </w:r>
      <w:r w:rsidR="00002673">
        <w:t>Primjenom definiranih</w:t>
      </w:r>
      <w:r w:rsidR="00A17B83">
        <w:t xml:space="preserve"> </w:t>
      </w:r>
      <w:r w:rsidR="00002673">
        <w:t>kriterija</w:t>
      </w:r>
      <w:r w:rsidR="00753E3D" w:rsidRPr="004757A5">
        <w:t xml:space="preserve"> utvrđeno je da predmetnom koncentracijom u 15 geografskih jedinica, od ukupno 27 na kojima dolazi do namjere pr</w:t>
      </w:r>
      <w:r w:rsidR="00EA068B">
        <w:t>euzimanja</w:t>
      </w:r>
      <w:r w:rsidR="00753E3D" w:rsidRPr="004757A5">
        <w:t>, nisu istodobno zadovoljena sva tri kriterija za utvrđivanje konkurentnih uvjeta (</w:t>
      </w:r>
      <w:r w:rsidR="00E03B78">
        <w:t xml:space="preserve">područja navedena u </w:t>
      </w:r>
      <w:r w:rsidR="00E03B78" w:rsidRPr="004757A5">
        <w:t>Privit</w:t>
      </w:r>
      <w:r w:rsidR="00E03B78">
        <w:t>ku</w:t>
      </w:r>
      <w:r w:rsidR="00753E3D" w:rsidRPr="004757A5">
        <w:t xml:space="preserve"> 1 ovog rješenja). Iako </w:t>
      </w:r>
      <w:r w:rsidR="00002673">
        <w:t xml:space="preserve">HT </w:t>
      </w:r>
      <w:r w:rsidR="00753E3D" w:rsidRPr="004757A5">
        <w:t xml:space="preserve">na tim područjima trenutno </w:t>
      </w:r>
      <w:r w:rsidR="002964C4">
        <w:t>nije određen operatorom sa</w:t>
      </w:r>
      <w:r w:rsidR="00753E3D" w:rsidRPr="004757A5">
        <w:t xml:space="preserve"> </w:t>
      </w:r>
      <w:r w:rsidR="002964C4" w:rsidRPr="004757A5">
        <w:t>značajn</w:t>
      </w:r>
      <w:r w:rsidR="002964C4">
        <w:t>om</w:t>
      </w:r>
      <w:r w:rsidR="002964C4" w:rsidRPr="004757A5">
        <w:t xml:space="preserve"> tržišn</w:t>
      </w:r>
      <w:r w:rsidR="002964C4">
        <w:t>om</w:t>
      </w:r>
      <w:r w:rsidR="002964C4" w:rsidRPr="004757A5">
        <w:t xml:space="preserve"> snag</w:t>
      </w:r>
      <w:r w:rsidR="002964C4">
        <w:t>om</w:t>
      </w:r>
      <w:r w:rsidR="00753E3D" w:rsidRPr="004757A5">
        <w:t xml:space="preserve">, </w:t>
      </w:r>
      <w:r w:rsidR="00E86BCC">
        <w:t>predmetna</w:t>
      </w:r>
      <w:r w:rsidR="00753E3D" w:rsidRPr="004757A5">
        <w:t xml:space="preserve"> koncentracija dovodi do bitne promjene tržišne strukture i </w:t>
      </w:r>
      <w:r w:rsidR="00E86BCC" w:rsidRPr="00E86BCC">
        <w:t xml:space="preserve">uspostave tržišnih uvjeta koji prema važećim analizama tržišta </w:t>
      </w:r>
      <w:r w:rsidR="00BF4303" w:rsidRPr="00DF6E37">
        <w:rPr>
          <w:color w:val="000000" w:themeColor="text1"/>
        </w:rPr>
        <w:t>M1/2020 i M3b/2014</w:t>
      </w:r>
      <w:r w:rsidR="00BF4303">
        <w:rPr>
          <w:color w:val="000000" w:themeColor="text1"/>
        </w:rPr>
        <w:t xml:space="preserve"> </w:t>
      </w:r>
      <w:r w:rsidR="00E86BCC" w:rsidRPr="00E86BCC">
        <w:t>o</w:t>
      </w:r>
      <w:r w:rsidR="00E86BCC">
        <w:t xml:space="preserve">pravdavaju primjenu </w:t>
      </w:r>
      <w:r w:rsidR="00951B03">
        <w:t>mjera, uvjeta i rokova</w:t>
      </w:r>
      <w:r w:rsidR="00E86BCC" w:rsidRPr="00E86BCC" w:rsidDel="00CE7241">
        <w:t xml:space="preserve"> </w:t>
      </w:r>
      <w:r w:rsidR="00CE7241">
        <w:t>koj</w:t>
      </w:r>
      <w:r w:rsidR="00951B03">
        <w:t>i</w:t>
      </w:r>
      <w:r w:rsidR="00CE7241">
        <w:t xml:space="preserve"> </w:t>
      </w:r>
      <w:r w:rsidR="00E86BCC" w:rsidRPr="00E86BCC">
        <w:t>se primjenjuj</w:t>
      </w:r>
      <w:r w:rsidR="005E74FA">
        <w:t>u</w:t>
      </w:r>
      <w:r w:rsidR="00E86BCC" w:rsidRPr="00E86BCC">
        <w:t xml:space="preserve"> na nekonkurentnim područjima</w:t>
      </w:r>
      <w:r w:rsidR="00753E3D" w:rsidRPr="004757A5">
        <w:t>.</w:t>
      </w:r>
      <w:r w:rsidR="00E86BCC">
        <w:t xml:space="preserve"> </w:t>
      </w:r>
      <w:r w:rsidR="008B4CA3" w:rsidRPr="00E5651F">
        <w:t xml:space="preserve">Na tim </w:t>
      </w:r>
      <w:r w:rsidR="00E86BCC">
        <w:t xml:space="preserve">je </w:t>
      </w:r>
      <w:r w:rsidR="008B4CA3" w:rsidRPr="00E5651F">
        <w:t>područjima Pro Ping predstavljao ključnu</w:t>
      </w:r>
      <w:r w:rsidR="002059D2">
        <w:t>,</w:t>
      </w:r>
      <w:r w:rsidR="008B4CA3" w:rsidRPr="00E5651F">
        <w:t xml:space="preserve"> </w:t>
      </w:r>
      <w:r w:rsidR="00E86BCC">
        <w:t>a u pojedinim slučajevima</w:t>
      </w:r>
      <w:r w:rsidR="008B4CA3" w:rsidRPr="00E5651F">
        <w:t xml:space="preserve"> jedinu alternativnu VHCN infrastrukturu. Provedbom koncentracije uklanja se postojeća infrastrukturna alternativa te se kontrola nad infrastrukturom i pripadajućom korisničkom bazom prenosi na HT.</w:t>
      </w:r>
      <w:r w:rsidR="002F7E32">
        <w:t xml:space="preserve"> </w:t>
      </w:r>
      <w:r w:rsidR="002964C4">
        <w:t>Ujedno, HT na tim područjima ima najrasprostranjeniju bakrenu infrastrukturu te najveću korisničku</w:t>
      </w:r>
      <w:r w:rsidR="002059D2">
        <w:t xml:space="preserve"> </w:t>
      </w:r>
      <w:r w:rsidR="002964C4">
        <w:t xml:space="preserve">bazu na bakrenoj mreži, pa je za očekivati da će HT povećati tržišni udio na tim područjima. </w:t>
      </w:r>
      <w:r w:rsidR="00D26E9B" w:rsidRPr="00E5651F">
        <w:t xml:space="preserve">U takvim okolnostima postoji </w:t>
      </w:r>
      <w:r w:rsidR="00C13C30">
        <w:t>opravdana</w:t>
      </w:r>
      <w:r w:rsidR="00D26E9B" w:rsidRPr="00E5651F">
        <w:t xml:space="preserve"> bojazan da bi se na navedenim područjima mogle ostvariti iste ili usporedive prepreke kakve su već identificirane u važećim analizama tržišta</w:t>
      </w:r>
      <w:r w:rsidR="008F08D9">
        <w:t xml:space="preserve"> </w:t>
      </w:r>
      <w:r w:rsidR="008F08D9" w:rsidRPr="00DF6E37">
        <w:rPr>
          <w:color w:val="000000" w:themeColor="text1"/>
        </w:rPr>
        <w:t>M1/2020 i M3b/2014</w:t>
      </w:r>
      <w:r w:rsidR="00D26E9B" w:rsidRPr="00E5651F">
        <w:t xml:space="preserve">, osobito zato što alternativni operatori na područjima </w:t>
      </w:r>
      <w:r w:rsidR="00D26E9B">
        <w:t>na kojima dolazi do pr</w:t>
      </w:r>
      <w:r w:rsidR="00EA068B">
        <w:t>euzimanja</w:t>
      </w:r>
      <w:r w:rsidR="00D26E9B">
        <w:t xml:space="preserve"> </w:t>
      </w:r>
      <w:r w:rsidR="00D26E9B" w:rsidRPr="00E5651F">
        <w:t>ne raspolažu infrastrukturom usporedivog opsega, dok su mogućnosti brzog ulaska ili replikacije mreže ograničene zbog visokih troškova ulaganja</w:t>
      </w:r>
      <w:r w:rsidR="0077394E">
        <w:t xml:space="preserve"> i</w:t>
      </w:r>
      <w:r w:rsidR="00D26E9B" w:rsidRPr="00E5651F">
        <w:t xml:space="preserve"> dugog vremena izgradnje. Predmetna koncentracija stoga ne predstavlja samo promjenu vlasničke strukture, </w:t>
      </w:r>
      <w:r w:rsidR="00685F5C">
        <w:t>već</w:t>
      </w:r>
      <w:r w:rsidR="00D26E9B" w:rsidRPr="00E5651F">
        <w:t xml:space="preserve"> dovodi do promjene tržišnih uvjeta na način da se dodatno učvršćuje kontrola HT-a nad infrastrukturom i veleprodajnim </w:t>
      </w:r>
      <w:r w:rsidR="00D55E47">
        <w:t>uslugama</w:t>
      </w:r>
      <w:r w:rsidR="00D55E47" w:rsidRPr="00E5651F">
        <w:t xml:space="preserve"> </w:t>
      </w:r>
      <w:r w:rsidR="00D55E47">
        <w:t>ključnim</w:t>
      </w:r>
      <w:r w:rsidR="002059D2">
        <w:t>a</w:t>
      </w:r>
      <w:r w:rsidR="00D26E9B" w:rsidRPr="00E5651F">
        <w:t xml:space="preserve"> za djelovanje alternativnih operatora.</w:t>
      </w:r>
      <w:r w:rsidR="00D26E9B" w:rsidRPr="004757A5">
        <w:t xml:space="preserve"> </w:t>
      </w:r>
    </w:p>
    <w:p w14:paraId="4A0D28F6" w14:textId="77777777" w:rsidR="00D26E9B" w:rsidRDefault="00D26E9B" w:rsidP="00D26E9B">
      <w:pPr>
        <w:jc w:val="both"/>
      </w:pPr>
    </w:p>
    <w:p w14:paraId="747BB5F2" w14:textId="6793A88C" w:rsidR="00532490" w:rsidRDefault="00532490" w:rsidP="00753E3D">
      <w:pPr>
        <w:jc w:val="both"/>
      </w:pPr>
      <w:r w:rsidRPr="00532490">
        <w:t>Dodatno je potrebno razmotriti i učinke koncentracije</w:t>
      </w:r>
      <w:r w:rsidR="00753E3D" w:rsidRPr="004757A5">
        <w:t xml:space="preserve"> na geografskim područjima koja su važećim analizama tr</w:t>
      </w:r>
      <w:r w:rsidR="00A17B83">
        <w:t xml:space="preserve">žišta </w:t>
      </w:r>
      <w:r w:rsidR="00814167" w:rsidRPr="00DF6E37">
        <w:rPr>
          <w:color w:val="000000" w:themeColor="text1"/>
        </w:rPr>
        <w:t>M1/2020 i M3b/2014</w:t>
      </w:r>
      <w:r w:rsidR="00814167">
        <w:rPr>
          <w:color w:val="000000" w:themeColor="text1"/>
        </w:rPr>
        <w:t xml:space="preserve"> </w:t>
      </w:r>
      <w:r w:rsidR="00390655" w:rsidRPr="00532490">
        <w:t xml:space="preserve">već </w:t>
      </w:r>
      <w:r w:rsidR="00A17B83">
        <w:t>određena kao nekonkurentna</w:t>
      </w:r>
      <w:r w:rsidR="00753E3D" w:rsidRPr="004757A5">
        <w:t xml:space="preserve">, a na kojima Pro Ping </w:t>
      </w:r>
      <w:r w:rsidRPr="00532490">
        <w:t xml:space="preserve">također </w:t>
      </w:r>
      <w:r w:rsidR="00753E3D" w:rsidRPr="004757A5">
        <w:t>raspolaže infrastrukturom</w:t>
      </w:r>
      <w:r w:rsidRPr="00532490">
        <w:t xml:space="preserve">. Na tim je područjima već </w:t>
      </w:r>
      <w:r w:rsidRPr="00532490">
        <w:lastRenderedPageBreak/>
        <w:t>utvrđeno da ne postoji dostatna infrastrukturna konkurencija te da su prisutne visoke i trajne zapreke ulasku, zbog čega su podložna prethodnoj regulaciji.</w:t>
      </w:r>
      <w:r w:rsidR="00A17B83">
        <w:t xml:space="preserve"> I</w:t>
      </w:r>
      <w:r w:rsidR="00753E3D" w:rsidRPr="004757A5">
        <w:t>ako je HT na tim područjima već određen operatorom sa značajnom tržišnom snagom</w:t>
      </w:r>
      <w:r w:rsidR="001E7CB1">
        <w:t xml:space="preserve"> te mu je, između ostalog, određena </w:t>
      </w:r>
      <w:r w:rsidR="001E7CB1" w:rsidRPr="004757A5">
        <w:t>obvez</w:t>
      </w:r>
      <w:r w:rsidR="001E7CB1">
        <w:t>a</w:t>
      </w:r>
      <w:r w:rsidR="00753E3D" w:rsidRPr="004757A5">
        <w:t xml:space="preserve"> primjene </w:t>
      </w:r>
      <w:r>
        <w:t>testa istiskivanja marže (dalje</w:t>
      </w:r>
      <w:r w:rsidR="00390655">
        <w:t xml:space="preserve">: </w:t>
      </w:r>
      <w:r w:rsidR="00753E3D" w:rsidRPr="004757A5">
        <w:t>MST</w:t>
      </w:r>
      <w:r>
        <w:t>)</w:t>
      </w:r>
      <w:r w:rsidR="00753E3D" w:rsidRPr="004757A5">
        <w:t>, funkcionalna NBSA usluga na preuzetoj infrastrukturi neće biti dostupna odmah po provedbi koncentracije</w:t>
      </w:r>
      <w:r>
        <w:t>,</w:t>
      </w:r>
      <w:r w:rsidR="00753E3D" w:rsidRPr="004757A5">
        <w:t xml:space="preserve"> </w:t>
      </w:r>
      <w:r w:rsidRPr="00532490">
        <w:t>nego tek nakon završetka integracije.</w:t>
      </w:r>
      <w:r w:rsidR="005F3051">
        <w:t xml:space="preserve"> </w:t>
      </w:r>
      <w:r w:rsidRPr="00532490">
        <w:t xml:space="preserve">U takvim okolnostima i na tim područjima postoji mogućnost dodatnog učvršćivanja tržišne pozicije HT-a prije nego što operatori korisnici dobiju stvarnu mogućnost korištenja odgovarajuće </w:t>
      </w:r>
      <w:r w:rsidR="001E7CB1" w:rsidRPr="00532490">
        <w:t>veleprodajn</w:t>
      </w:r>
      <w:r w:rsidR="001E7CB1">
        <w:t>e usluge</w:t>
      </w:r>
      <w:r w:rsidRPr="00532490">
        <w:t xml:space="preserve"> na preuzetoj infrastrukturi.</w:t>
      </w:r>
      <w:r w:rsidR="00D92BFE">
        <w:t xml:space="preserve"> </w:t>
      </w:r>
    </w:p>
    <w:p w14:paraId="464360C6" w14:textId="77777777" w:rsidR="00532490" w:rsidRDefault="00532490" w:rsidP="00753E3D">
      <w:pPr>
        <w:jc w:val="both"/>
      </w:pPr>
    </w:p>
    <w:p w14:paraId="42A38920" w14:textId="0F6D42C2" w:rsidR="00A70A43" w:rsidRDefault="00A17B83" w:rsidP="00A70A43">
      <w:pPr>
        <w:jc w:val="both"/>
      </w:pPr>
      <w:r w:rsidRPr="00E5651F">
        <w:t xml:space="preserve">HT je u prijavi naveo kako će funkcionalna NBSA usluga na preuzetoj infrastrukturi biti dostupna tek nakon integracije, odnosno nakon prijelaznog razdoblja procijenjenog na približno devet mjeseci. Budući da je u važećim analizama tržišta </w:t>
      </w:r>
      <w:r w:rsidR="00DD01CD" w:rsidRPr="00DF6E37">
        <w:rPr>
          <w:color w:val="000000" w:themeColor="text1"/>
        </w:rPr>
        <w:t>M1/2020 i M3b/2014</w:t>
      </w:r>
      <w:r w:rsidRPr="00E5651F">
        <w:t xml:space="preserve"> utvrđeno da je na nekonkurentnim područjima </w:t>
      </w:r>
      <w:r w:rsidR="00695DF5">
        <w:t>NBSA usluga</w:t>
      </w:r>
      <w:r w:rsidRPr="00E5651F">
        <w:t xml:space="preserve"> </w:t>
      </w:r>
      <w:r w:rsidR="00695DF5" w:rsidRPr="00E5651F">
        <w:t>ključ</w:t>
      </w:r>
      <w:r w:rsidR="00695DF5">
        <w:t>na</w:t>
      </w:r>
      <w:r w:rsidR="00695DF5" w:rsidRPr="00E5651F">
        <w:t xml:space="preserve"> </w:t>
      </w:r>
      <w:r w:rsidRPr="00E5651F">
        <w:t>veleprodajn</w:t>
      </w:r>
      <w:r w:rsidR="00695DF5">
        <w:t>a</w:t>
      </w:r>
      <w:r w:rsidRPr="00E5651F">
        <w:t xml:space="preserve"> </w:t>
      </w:r>
      <w:r w:rsidR="00695DF5">
        <w:t>usluga</w:t>
      </w:r>
      <w:r w:rsidR="00695DF5" w:rsidRPr="00E5651F">
        <w:t xml:space="preserve"> </w:t>
      </w:r>
      <w:r w:rsidRPr="00E5651F">
        <w:t>za očuvanje tržišnog natjecanja</w:t>
      </w:r>
      <w:r w:rsidR="00695DF5">
        <w:t xml:space="preserve"> na tržištu velikog kapaciteta na nekonkurentnim VHCN područjima</w:t>
      </w:r>
      <w:r w:rsidRPr="00E5651F">
        <w:t xml:space="preserve">, takvo prijelazno razdoblje </w:t>
      </w:r>
      <w:r w:rsidR="00532490" w:rsidRPr="00532490">
        <w:t xml:space="preserve">ima </w:t>
      </w:r>
      <w:r w:rsidR="00695DF5">
        <w:t>značajan utjecaj na</w:t>
      </w:r>
      <w:r w:rsidR="00532490" w:rsidRPr="00532490">
        <w:t xml:space="preserve"> ocjenu učinaka koncentracije.</w:t>
      </w:r>
      <w:r w:rsidRPr="00E5651F">
        <w:t xml:space="preserve"> </w:t>
      </w:r>
      <w:r w:rsidR="00A70A43">
        <w:t>U</w:t>
      </w:r>
      <w:r w:rsidR="00A70A43" w:rsidRPr="00E5651F">
        <w:t xml:space="preserve"> tom razdoblju alternativni operatori </w:t>
      </w:r>
      <w:r w:rsidR="00BD0063">
        <w:t>bili</w:t>
      </w:r>
      <w:r w:rsidR="00A70A43" w:rsidRPr="00E5651F">
        <w:t xml:space="preserve"> </w:t>
      </w:r>
      <w:r w:rsidR="00A70A43" w:rsidRPr="00E5651F" w:rsidDel="00DF3799">
        <w:t xml:space="preserve">bi </w:t>
      </w:r>
      <w:r w:rsidR="00A70A43" w:rsidRPr="00E5651F">
        <w:t>bez pravodobnog i funkcionalnog pristupa veleprodajnom proizvodu koji je nužan za pružanje kon</w:t>
      </w:r>
      <w:r w:rsidR="00A70A43">
        <w:t>kurentnih maloprodajnih usluga.</w:t>
      </w:r>
      <w:r w:rsidR="00A70A43" w:rsidRPr="00A70A43">
        <w:t xml:space="preserve"> </w:t>
      </w:r>
      <w:r w:rsidR="00A70A43" w:rsidRPr="00E5651F">
        <w:t xml:space="preserve">Takva situacija po svojim učincima odgovara preprekama koje su u analizama tržišta </w:t>
      </w:r>
      <w:r w:rsidR="00532490" w:rsidRPr="00532490">
        <w:t>već utvrđene</w:t>
      </w:r>
      <w:r w:rsidR="00A70A43" w:rsidRPr="00E5651F">
        <w:t xml:space="preserve"> kao uskraćivanje pristupa, odgođeni pristup ili taktike odgađanja.</w:t>
      </w:r>
    </w:p>
    <w:p w14:paraId="21862570" w14:textId="1670D0D2" w:rsidR="00390655" w:rsidRDefault="00390655" w:rsidP="00A70A43">
      <w:pPr>
        <w:jc w:val="both"/>
      </w:pPr>
    </w:p>
    <w:p w14:paraId="645FF770" w14:textId="1858ABDD" w:rsidR="00390655" w:rsidRDefault="00390655" w:rsidP="00390655">
      <w:pPr>
        <w:jc w:val="both"/>
      </w:pPr>
      <w:r>
        <w:t>Nadalje, u</w:t>
      </w:r>
      <w:r w:rsidRPr="00E5651F">
        <w:t xml:space="preserve"> razdoblju do pune uspostave NBSA usluge postoji i rizik nastanka nejednakih tržišnih uvjeta između HT-a i alternativnih operatora. Dok bi HT imao mogućnost neposrednog pružanja maloprodajnih usluga krajnjim korisnicima putem preuzete infrastrukture, alternativni operatori ne bi raspolagali odgovarajućom veleprodajnom uslugom koja bi im omogućila pružanje usporedivih usluga pod jednakim uvjetima</w:t>
      </w:r>
      <w:r>
        <w:t xml:space="preserve">. </w:t>
      </w:r>
      <w:r w:rsidRPr="00E5651F">
        <w:t xml:space="preserve">Takve okolnosti mogu dovesti do diskriminatornih učinaka u pogledu dostupnosti </w:t>
      </w:r>
      <w:r w:rsidRPr="00E5651F">
        <w:lastRenderedPageBreak/>
        <w:t xml:space="preserve">usluga, rokova realizacije, kvalitete usluge ili pristupa informacijama, odnosno do pojava koje su u važećim analizama </w:t>
      </w:r>
      <w:r w:rsidR="004A5431" w:rsidRPr="00DF6E37">
        <w:rPr>
          <w:color w:val="000000" w:themeColor="text1"/>
        </w:rPr>
        <w:t>M1/2020 i M3b/2014</w:t>
      </w:r>
      <w:r w:rsidRPr="00E5651F">
        <w:t xml:space="preserve"> tržišta identificirane kao relevantne prepreke razvoju tržišnog natjecanja. </w:t>
      </w:r>
    </w:p>
    <w:p w14:paraId="7CB625B9" w14:textId="77777777" w:rsidR="00390655" w:rsidRPr="00E5651F" w:rsidRDefault="00390655" w:rsidP="00390655">
      <w:pPr>
        <w:jc w:val="both"/>
      </w:pPr>
    </w:p>
    <w:p w14:paraId="17A99976" w14:textId="13EDDB42" w:rsidR="00390655" w:rsidRDefault="00390655" w:rsidP="00390655">
      <w:pPr>
        <w:jc w:val="both"/>
      </w:pPr>
      <w:r>
        <w:t>Osobito je stoga važno osigurati da se u prijelaznom razdoblju ne stvore uvjeti u kojima HT, neposrednim raspolaganjem infrastrukturom, ostvaruje prednost</w:t>
      </w:r>
      <w:r w:rsidR="00F85D41">
        <w:t>i</w:t>
      </w:r>
      <w:r>
        <w:t xml:space="preserve"> </w:t>
      </w:r>
      <w:r w:rsidR="00F85D41">
        <w:t>u odnosu na</w:t>
      </w:r>
      <w:r>
        <w:t xml:space="preserve"> </w:t>
      </w:r>
      <w:r w:rsidR="00F85D41">
        <w:t>alternativne operatore</w:t>
      </w:r>
      <w:r>
        <w:t>.</w:t>
      </w:r>
    </w:p>
    <w:p w14:paraId="3D727A16" w14:textId="77777777" w:rsidR="00390655" w:rsidRDefault="00390655" w:rsidP="00390655">
      <w:pPr>
        <w:jc w:val="both"/>
      </w:pPr>
    </w:p>
    <w:p w14:paraId="3226FEBA" w14:textId="76C53B87" w:rsidR="00390655" w:rsidRDefault="00390655" w:rsidP="00390655">
      <w:pPr>
        <w:jc w:val="both"/>
      </w:pPr>
      <w:r>
        <w:t xml:space="preserve">U situaciji u kojoj alternativni operatori nemaju pristup </w:t>
      </w:r>
      <w:r w:rsidR="00F85D41">
        <w:t>ključnoj</w:t>
      </w:r>
      <w:r>
        <w:t xml:space="preserve"> veleprodajno</w:t>
      </w:r>
      <w:r w:rsidR="00F85D41">
        <w:t>j</w:t>
      </w:r>
      <w:r>
        <w:t xml:space="preserve"> </w:t>
      </w:r>
      <w:r w:rsidR="00F85D41">
        <w:t>usluzi</w:t>
      </w:r>
      <w:r>
        <w:t xml:space="preserve"> HT bi mogao ostvariti dodatnu tržišnu prednost u privlačenju novih kor</w:t>
      </w:r>
      <w:r w:rsidR="00495BB8">
        <w:t xml:space="preserve">isnika na područjima obuhvaćenima </w:t>
      </w:r>
      <w:r>
        <w:t>koncentracijom. Osobitu važnost pritom ima mogućnost sklapanja novih ugovora uz ugovornu obvezu ili drugih oblika vezivanja korisnika u prijelaznom razdoblju. U takvim okolnostima postoji mogućnost prijenosa tržišne snage s veleprodajne na maloprodajnu razinu, osobito ako bi se u prijelaznom razdoblju uvodile nove atraktivne ponude</w:t>
      </w:r>
      <w:r w:rsidR="008E5FE1">
        <w:t xml:space="preserve"> ili </w:t>
      </w:r>
      <w:r>
        <w:t>mijenjale postojeće u uvjetima u kojima alternativni operatori još nemaju stvarnu mogućnost njihove ekonomske replikacije</w:t>
      </w:r>
      <w:r w:rsidR="008E5FE1">
        <w:t xml:space="preserve">, </w:t>
      </w:r>
      <w:r w:rsidR="008E5FE1" w:rsidRPr="008E5FE1">
        <w:t>čime se dodatno narušavaju uvjeti djelotvornog tržišnog natjecanja</w:t>
      </w:r>
      <w:r>
        <w:t>.</w:t>
      </w:r>
    </w:p>
    <w:p w14:paraId="12E7D985" w14:textId="360B2275" w:rsidR="00F85D41" w:rsidRDefault="00F85D41" w:rsidP="00390655">
      <w:pPr>
        <w:jc w:val="both"/>
      </w:pPr>
    </w:p>
    <w:p w14:paraId="377516D0" w14:textId="17FBF7D5" w:rsidR="00662713" w:rsidRDefault="00F85D41" w:rsidP="008B13DA">
      <w:pPr>
        <w:jc w:val="both"/>
      </w:pPr>
      <w:r>
        <w:t>S</w:t>
      </w:r>
      <w:r w:rsidRPr="00865DE3">
        <w:t xml:space="preserve">lijedom </w:t>
      </w:r>
      <w:r>
        <w:t>navedenog</w:t>
      </w:r>
      <w:r w:rsidRPr="00865DE3">
        <w:t>, HAKOM smatra nužnim odrediti skup proporcionalnih i ciljanih mjera</w:t>
      </w:r>
      <w:r w:rsidR="009F23D6">
        <w:t>, uvjeta i rokova</w:t>
      </w:r>
      <w:r w:rsidRPr="00865DE3">
        <w:t xml:space="preserve"> kojima se osigurava zaštita tržišnog natjecanja i interesa krajnjih korisnika, osobito u prijelaznom razdoblju integracije P</w:t>
      </w:r>
      <w:r>
        <w:t>ro Pinga u HT, a kako je pojašnjeno u nastavku</w:t>
      </w:r>
      <w:r w:rsidRPr="00865DE3" w:rsidDel="00F85D41">
        <w:t>.</w:t>
      </w:r>
    </w:p>
    <w:p w14:paraId="385F6B50" w14:textId="77777777" w:rsidR="00532BB9" w:rsidRDefault="00532BB9" w:rsidP="008B13DA">
      <w:pPr>
        <w:jc w:val="both"/>
      </w:pPr>
    </w:p>
    <w:p w14:paraId="050FEAD3" w14:textId="05DA1A8A" w:rsidR="00A22D1B" w:rsidRPr="00E5651F" w:rsidRDefault="00944BA8" w:rsidP="00C57186">
      <w:pPr>
        <w:pStyle w:val="ListParagraph"/>
        <w:numPr>
          <w:ilvl w:val="0"/>
          <w:numId w:val="8"/>
        </w:numPr>
        <w:jc w:val="both"/>
        <w:rPr>
          <w:i/>
        </w:rPr>
      </w:pPr>
      <w:r w:rsidRPr="00E5651F">
        <w:rPr>
          <w:i/>
        </w:rPr>
        <w:t>Mjere</w:t>
      </w:r>
    </w:p>
    <w:p w14:paraId="2DA18A2C" w14:textId="77777777" w:rsidR="00A22D1B" w:rsidRPr="00E5651F" w:rsidRDefault="00A22D1B" w:rsidP="00CC5E0A">
      <w:pPr>
        <w:jc w:val="both"/>
      </w:pPr>
    </w:p>
    <w:p w14:paraId="6F0B20C4" w14:textId="0B12774D" w:rsidR="00492CEC" w:rsidRPr="009055EB" w:rsidRDefault="009C1F02" w:rsidP="009C1F02">
      <w:pPr>
        <w:jc w:val="both"/>
        <w:rPr>
          <w:color w:val="000000" w:themeColor="text1"/>
        </w:rPr>
      </w:pPr>
      <w:r w:rsidRPr="009055EB" w:rsidDel="00492CEC">
        <w:rPr>
          <w:color w:val="000000" w:themeColor="text1"/>
        </w:rPr>
        <w:lastRenderedPageBreak/>
        <w:t xml:space="preserve">Mjerom iz točke II.a </w:t>
      </w:r>
      <w:r w:rsidR="00492CEC" w:rsidRPr="009055EB">
        <w:rPr>
          <w:color w:val="000000" w:themeColor="text1"/>
        </w:rPr>
        <w:t xml:space="preserve">određuje se da je HT, na geografskim jedinicama </w:t>
      </w:r>
      <w:r w:rsidR="0056135E" w:rsidRPr="009055EB">
        <w:rPr>
          <w:color w:val="000000" w:themeColor="text1"/>
        </w:rPr>
        <w:t>za</w:t>
      </w:r>
      <w:r w:rsidR="00492CEC" w:rsidRPr="009055EB">
        <w:rPr>
          <w:color w:val="000000" w:themeColor="text1"/>
        </w:rPr>
        <w:t xml:space="preserve"> koj</w:t>
      </w:r>
      <w:r w:rsidR="0056135E" w:rsidRPr="009055EB">
        <w:rPr>
          <w:color w:val="000000" w:themeColor="text1"/>
        </w:rPr>
        <w:t>e</w:t>
      </w:r>
      <w:r w:rsidR="00492CEC" w:rsidRPr="009055EB">
        <w:rPr>
          <w:color w:val="000000" w:themeColor="text1"/>
        </w:rPr>
        <w:t xml:space="preserve"> je u ovom postupku utvrđeno da nakon provedbe koncentracije </w:t>
      </w:r>
      <w:r w:rsidR="000A38D6" w:rsidRPr="009055EB">
        <w:rPr>
          <w:color w:val="000000" w:themeColor="text1"/>
        </w:rPr>
        <w:t>ne ispunjavaju</w:t>
      </w:r>
      <w:r w:rsidR="00492CEC" w:rsidRPr="009055EB">
        <w:rPr>
          <w:color w:val="000000" w:themeColor="text1"/>
        </w:rPr>
        <w:t xml:space="preserve"> kriterij</w:t>
      </w:r>
      <w:r w:rsidR="000A38D6" w:rsidRPr="009055EB">
        <w:rPr>
          <w:color w:val="000000" w:themeColor="text1"/>
        </w:rPr>
        <w:t>e</w:t>
      </w:r>
      <w:r w:rsidR="00492CEC" w:rsidRPr="009055EB">
        <w:rPr>
          <w:color w:val="000000" w:themeColor="text1"/>
        </w:rPr>
        <w:t xml:space="preserve"> za utvrđivanje konkurentnih uvjeta </w:t>
      </w:r>
      <w:r w:rsidR="00771CC4" w:rsidRPr="009055EB">
        <w:rPr>
          <w:color w:val="000000" w:themeColor="text1"/>
        </w:rPr>
        <w:t>prema</w:t>
      </w:r>
      <w:r w:rsidR="00492CEC" w:rsidRPr="009055EB">
        <w:rPr>
          <w:color w:val="000000" w:themeColor="text1"/>
        </w:rPr>
        <w:t xml:space="preserve"> važeć</w:t>
      </w:r>
      <w:r w:rsidR="00771CC4" w:rsidRPr="009055EB">
        <w:rPr>
          <w:color w:val="000000" w:themeColor="text1"/>
        </w:rPr>
        <w:t>im</w:t>
      </w:r>
      <w:r w:rsidR="00492CEC" w:rsidRPr="009055EB">
        <w:rPr>
          <w:color w:val="000000" w:themeColor="text1"/>
        </w:rPr>
        <w:t xml:space="preserve"> analiza</w:t>
      </w:r>
      <w:r w:rsidR="00771CC4" w:rsidRPr="009055EB">
        <w:rPr>
          <w:color w:val="000000" w:themeColor="text1"/>
        </w:rPr>
        <w:t>ma</w:t>
      </w:r>
      <w:r w:rsidR="00492CEC" w:rsidRPr="009055EB">
        <w:rPr>
          <w:color w:val="000000" w:themeColor="text1"/>
        </w:rPr>
        <w:t xml:space="preserve"> </w:t>
      </w:r>
      <w:r w:rsidR="00492CEC" w:rsidRPr="00DF6E37">
        <w:rPr>
          <w:color w:val="000000" w:themeColor="text1"/>
        </w:rPr>
        <w:t>tržišta</w:t>
      </w:r>
      <w:r w:rsidR="00DF6E37" w:rsidRPr="00DF6E37">
        <w:rPr>
          <w:color w:val="000000" w:themeColor="text1"/>
        </w:rPr>
        <w:t xml:space="preserve"> M1/2020 i M3b/2014</w:t>
      </w:r>
      <w:r w:rsidR="00492CEC" w:rsidRPr="00DF6E37">
        <w:rPr>
          <w:color w:val="000000" w:themeColor="text1"/>
        </w:rPr>
        <w:t xml:space="preserve">, obvezan </w:t>
      </w:r>
      <w:r w:rsidR="00492CEC" w:rsidRPr="009055EB">
        <w:rPr>
          <w:color w:val="000000" w:themeColor="text1"/>
        </w:rPr>
        <w:t>primjenjivati obveze</w:t>
      </w:r>
      <w:r w:rsidR="005C1D69">
        <w:rPr>
          <w:color w:val="000000" w:themeColor="text1"/>
        </w:rPr>
        <w:t xml:space="preserve"> </w:t>
      </w:r>
      <w:r w:rsidR="00492CEC" w:rsidRPr="009055EB">
        <w:rPr>
          <w:color w:val="000000" w:themeColor="text1"/>
        </w:rPr>
        <w:t>koje su mu već određene na nekonkurentnim područjima</w:t>
      </w:r>
      <w:r w:rsidR="00771CC4" w:rsidRPr="009055EB">
        <w:rPr>
          <w:color w:val="000000" w:themeColor="text1"/>
        </w:rPr>
        <w:t>. Te se obveze</w:t>
      </w:r>
      <w:r w:rsidR="0002225B">
        <w:rPr>
          <w:color w:val="000000" w:themeColor="text1"/>
        </w:rPr>
        <w:t xml:space="preserve"> </w:t>
      </w:r>
      <w:r w:rsidR="00771CC4" w:rsidRPr="009055EB">
        <w:rPr>
          <w:color w:val="000000" w:themeColor="text1"/>
        </w:rPr>
        <w:t>odnose i</w:t>
      </w:r>
      <w:r w:rsidR="00492CEC" w:rsidRPr="009055EB">
        <w:rPr>
          <w:color w:val="000000" w:themeColor="text1"/>
        </w:rPr>
        <w:t xml:space="preserve"> na infrastrukturu i usluge preuzete od Pro Pinga.</w:t>
      </w:r>
    </w:p>
    <w:p w14:paraId="10276198" w14:textId="50AEB539" w:rsidR="00C575AD" w:rsidRPr="009055EB" w:rsidRDefault="00C575AD" w:rsidP="00C575AD">
      <w:pPr>
        <w:jc w:val="both"/>
        <w:rPr>
          <w:color w:val="000000" w:themeColor="text1"/>
        </w:rPr>
      </w:pPr>
    </w:p>
    <w:p w14:paraId="1A2FC04D" w14:textId="5AC3CA53" w:rsidR="009C1F02" w:rsidRPr="009055EB" w:rsidRDefault="00C575AD" w:rsidP="009C1F02">
      <w:pPr>
        <w:jc w:val="both"/>
        <w:rPr>
          <w:color w:val="000000" w:themeColor="text1"/>
        </w:rPr>
      </w:pPr>
      <w:r w:rsidRPr="009055EB">
        <w:rPr>
          <w:color w:val="000000" w:themeColor="text1"/>
        </w:rPr>
        <w:t xml:space="preserve">Mjera je razmjerna jer ne uvodi novi skup obveza, nego na predmetnim geografskim jedinicama osigurava primjenu obveza koje se već primjenjuju na nekonkurentnim područjima. Budući da nakon provedbe koncentracije na tim područjima više nisu istodobno ispunjeni kriteriji za utvrđivanje konkurentnih uvjeta, </w:t>
      </w:r>
      <w:r w:rsidR="00D64747" w:rsidRPr="009055EB">
        <w:rPr>
          <w:color w:val="000000" w:themeColor="text1"/>
        </w:rPr>
        <w:t xml:space="preserve">a operatori korisnici ovise o pristupu veleprodajnim uslugama pod kontrolom operatora sa značajnom tržišnom snagom, </w:t>
      </w:r>
      <w:r w:rsidRPr="009055EB">
        <w:rPr>
          <w:color w:val="000000" w:themeColor="text1"/>
        </w:rPr>
        <w:t xml:space="preserve">opravdano je da se na njima primjenjuju ista pravila kao i na ostalim nekonkurentnim područjima, uz izričito pojašnjenje da se te obveze odnose i na infrastrukturu i usluge preuzete predmetnom koncentracijom. </w:t>
      </w:r>
      <w:r w:rsidR="00E57F26" w:rsidRPr="009055EB">
        <w:rPr>
          <w:color w:val="000000" w:themeColor="text1"/>
        </w:rPr>
        <w:t xml:space="preserve">Naime, na tim je područjima Pro Ping do trenutka koncentracije predstavljao ključnu ili jedinu alternativnu VHCN infrastrukturu, a provedbom koncentracije dolazi do uklanjanja postojeće infrastrukturne alternative i prijenosa kontrole nad infrastrukturom i korisničkom bazom na HT. Ovom mjerom </w:t>
      </w:r>
      <w:r w:rsidRPr="009055EB">
        <w:rPr>
          <w:color w:val="000000" w:themeColor="text1"/>
        </w:rPr>
        <w:t xml:space="preserve">sprječava </w:t>
      </w:r>
      <w:r w:rsidR="00E57F26" w:rsidRPr="009055EB">
        <w:rPr>
          <w:color w:val="000000" w:themeColor="text1"/>
        </w:rPr>
        <w:t xml:space="preserve">se </w:t>
      </w:r>
      <w:r w:rsidRPr="009055EB">
        <w:rPr>
          <w:color w:val="000000" w:themeColor="text1"/>
        </w:rPr>
        <w:t>mogućnost zaobilaženja postojećih regulatornih obveza preuzimanjem infrastrukture drugih operatora</w:t>
      </w:r>
      <w:r w:rsidR="0002225B">
        <w:rPr>
          <w:color w:val="000000" w:themeColor="text1"/>
        </w:rPr>
        <w:t xml:space="preserve"> </w:t>
      </w:r>
      <w:r w:rsidR="006B5BAB">
        <w:rPr>
          <w:color w:val="000000" w:themeColor="text1"/>
        </w:rPr>
        <w:t>putem</w:t>
      </w:r>
      <w:r w:rsidR="00CA5243">
        <w:rPr>
          <w:color w:val="000000" w:themeColor="text1"/>
        </w:rPr>
        <w:t xml:space="preserve"> </w:t>
      </w:r>
      <w:r w:rsidR="0002225B">
        <w:rPr>
          <w:color w:val="000000" w:themeColor="text1"/>
        </w:rPr>
        <w:t>koncentracij</w:t>
      </w:r>
      <w:r w:rsidR="006B5BAB">
        <w:rPr>
          <w:color w:val="000000" w:themeColor="text1"/>
        </w:rPr>
        <w:t>a</w:t>
      </w:r>
      <w:r w:rsidRPr="009055EB">
        <w:rPr>
          <w:color w:val="000000" w:themeColor="text1"/>
        </w:rPr>
        <w:t>.</w:t>
      </w:r>
    </w:p>
    <w:p w14:paraId="370EF127" w14:textId="77777777" w:rsidR="001B10A9" w:rsidRDefault="001B10A9" w:rsidP="001B10A9">
      <w:pPr>
        <w:jc w:val="both"/>
      </w:pPr>
    </w:p>
    <w:p w14:paraId="062EFD26" w14:textId="3657CEA2" w:rsidR="009C1F02" w:rsidRPr="00495BB8" w:rsidRDefault="009C1F02" w:rsidP="009C1F02">
      <w:pPr>
        <w:jc w:val="both"/>
      </w:pPr>
      <w:r w:rsidRPr="00495BB8">
        <w:t xml:space="preserve">Mjerom iz točke II.b </w:t>
      </w:r>
      <w:r w:rsidR="009E40C3">
        <w:t>izričito se propisuje</w:t>
      </w:r>
      <w:r w:rsidRPr="00495BB8">
        <w:t xml:space="preserve"> da </w:t>
      </w:r>
      <w:r w:rsidR="00110048">
        <w:t>se</w:t>
      </w:r>
      <w:r w:rsidRPr="00495BB8">
        <w:t xml:space="preserve"> iste obveze </w:t>
      </w:r>
      <w:r w:rsidR="00110048" w:rsidRPr="00110048">
        <w:t xml:space="preserve">koje </w:t>
      </w:r>
      <w:r w:rsidR="00110048">
        <w:t xml:space="preserve">su HT-u već određene </w:t>
      </w:r>
      <w:r w:rsidR="00110048" w:rsidRPr="00110048">
        <w:t>na geografskim jedinicama koje su važećim odlukama HAKOM-a određene kao nekonkurentna područja, primjenjuju i na infrastrukturu i usluge preuzete od društva Pro Ping d.o.o. na tim područjim</w:t>
      </w:r>
      <w:r w:rsidR="00304612">
        <w:t>a</w:t>
      </w:r>
      <w:r w:rsidRPr="00495BB8">
        <w:t>.</w:t>
      </w:r>
      <w:r w:rsidR="00AC2C72" w:rsidRPr="00AC2C72">
        <w:t xml:space="preserve"> </w:t>
      </w:r>
      <w:r w:rsidR="00AC2C72" w:rsidRPr="003B28D3">
        <w:t>Mjera je nužna radi očuvanja regulatorne</w:t>
      </w:r>
      <w:r w:rsidR="00AC2C72" w:rsidRPr="003B28D3" w:rsidDel="00BC0D46">
        <w:t xml:space="preserve"> </w:t>
      </w:r>
      <w:r w:rsidR="00BC0D46">
        <w:t>dosljednosti</w:t>
      </w:r>
      <w:r w:rsidR="00AC2C72" w:rsidRPr="003B28D3">
        <w:t>, pravne sigurnosti i sprječavanja zaobilaženja postojeće</w:t>
      </w:r>
      <w:r w:rsidR="00AC2C72">
        <w:t xml:space="preserve"> regulacije</w:t>
      </w:r>
      <w:r w:rsidR="00AC2C72" w:rsidRPr="00411BE6">
        <w:t>.</w:t>
      </w:r>
      <w:r w:rsidR="00662713">
        <w:t xml:space="preserve"> </w:t>
      </w:r>
      <w:r w:rsidR="000A6A84" w:rsidRPr="000A6A84">
        <w:t xml:space="preserve">Njezina svrha nije ponovno određivanje obveza HT-u na područjima koja su već utvrđena kao nekonkurentna, nego izričito pojašnjenje da se postojeće obveze HT-a na tim područjima odnose i na infrastrukturu i usluge preuzete </w:t>
      </w:r>
      <w:r w:rsidR="000A6A84" w:rsidRPr="000A6A84">
        <w:lastRenderedPageBreak/>
        <w:t>predmetnom koncentracijom.</w:t>
      </w:r>
      <w:r w:rsidR="000A6A84">
        <w:t xml:space="preserve"> </w:t>
      </w:r>
      <w:r w:rsidR="00AC2C72">
        <w:t>Naime,</w:t>
      </w:r>
      <w:r w:rsidRPr="00495BB8">
        <w:t xml:space="preserve"> predmetna koncentracija ne proizvodi učinke samo na područjima koja nakon koncentracije zadovoljavaju kriterije za nekonkurentna područja, </w:t>
      </w:r>
      <w:r w:rsidR="00357DAD">
        <w:t>već</w:t>
      </w:r>
      <w:r w:rsidRPr="00495BB8">
        <w:t xml:space="preserve"> i na područjima koja su </w:t>
      </w:r>
      <w:r w:rsidR="00864736">
        <w:t xml:space="preserve">analizama mjerodavnih tržišta </w:t>
      </w:r>
      <w:r w:rsidR="00317315" w:rsidRPr="00317315">
        <w:t>M1/2020 i M3b/2014</w:t>
      </w:r>
      <w:r w:rsidR="00317315">
        <w:t xml:space="preserve"> </w:t>
      </w:r>
      <w:r w:rsidR="00712BC4">
        <w:t xml:space="preserve">već </w:t>
      </w:r>
      <w:r w:rsidRPr="00495BB8">
        <w:t xml:space="preserve">određena kao nekonkurentna. Na tim područjima </w:t>
      </w:r>
      <w:r w:rsidR="00AC2C72">
        <w:t>su</w:t>
      </w:r>
      <w:r w:rsidRPr="00495BB8">
        <w:t xml:space="preserve"> HT</w:t>
      </w:r>
      <w:r w:rsidR="00AC2C72">
        <w:t>-u</w:t>
      </w:r>
      <w:r w:rsidRPr="00495BB8">
        <w:t xml:space="preserve"> </w:t>
      </w:r>
      <w:r w:rsidR="00AC2C72">
        <w:t>određene</w:t>
      </w:r>
      <w:r w:rsidRPr="00495BB8">
        <w:t xml:space="preserve"> </w:t>
      </w:r>
      <w:r w:rsidR="00AC2C72">
        <w:t>obveze</w:t>
      </w:r>
      <w:r w:rsidRPr="00495BB8">
        <w:t xml:space="preserve">, ali </w:t>
      </w:r>
      <w:r w:rsidR="00943E31">
        <w:t xml:space="preserve">predmetna </w:t>
      </w:r>
      <w:r w:rsidRPr="00495BB8">
        <w:t xml:space="preserve">koncentracija i ondje dovodi do </w:t>
      </w:r>
      <w:r w:rsidR="00943E31">
        <w:t>daljnjeg</w:t>
      </w:r>
      <w:r w:rsidRPr="00495BB8">
        <w:t xml:space="preserve"> </w:t>
      </w:r>
      <w:r w:rsidR="00E762ED">
        <w:t>j</w:t>
      </w:r>
      <w:r w:rsidR="00943E31">
        <w:t>ačanja</w:t>
      </w:r>
      <w:r w:rsidR="00943E31" w:rsidRPr="00495BB8">
        <w:t xml:space="preserve"> njegov</w:t>
      </w:r>
      <w:r w:rsidR="00943E31">
        <w:t>a</w:t>
      </w:r>
      <w:r w:rsidR="00943E31" w:rsidRPr="00495BB8">
        <w:t xml:space="preserve"> </w:t>
      </w:r>
      <w:r w:rsidRPr="00495BB8">
        <w:t>tržišn</w:t>
      </w:r>
      <w:r w:rsidR="00943E31">
        <w:t>og položaja</w:t>
      </w:r>
      <w:r w:rsidRPr="00495BB8">
        <w:t xml:space="preserve"> </w:t>
      </w:r>
      <w:r w:rsidRPr="00943E31">
        <w:t>preuzimanjem infrastrukture i korisničke baze</w:t>
      </w:r>
      <w:r w:rsidRPr="00495BB8">
        <w:t xml:space="preserve"> </w:t>
      </w:r>
      <w:r w:rsidR="00943E31">
        <w:t>Pro Pinga</w:t>
      </w:r>
      <w:r w:rsidRPr="00495BB8">
        <w:t>.</w:t>
      </w:r>
      <w:r w:rsidR="00AC2C72">
        <w:t xml:space="preserve"> </w:t>
      </w:r>
      <w:r w:rsidRPr="00495BB8">
        <w:t xml:space="preserve">Posebno je važno izbjeći bilo kakvu nejasnoću u pogledu toga odnose li se postojeće obveze i na usluge koje HT nakon koncentracije pruža putem preuzete Pro Ping infrastrukture. Stoga je potrebno izričito odrediti da se obveze koje su već utvrđene za nekonkurentna područja primjenjuju i </w:t>
      </w:r>
      <w:r w:rsidR="00AC2C72">
        <w:t xml:space="preserve">u </w:t>
      </w:r>
      <w:r w:rsidR="0068693F">
        <w:t>od</w:t>
      </w:r>
      <w:r w:rsidR="00AC2C72">
        <w:t xml:space="preserve">nosu na </w:t>
      </w:r>
      <w:r w:rsidR="004F7DBD">
        <w:t xml:space="preserve">infrastrukturu i usluge </w:t>
      </w:r>
      <w:r w:rsidR="00AC2C72">
        <w:t>Pro Ping</w:t>
      </w:r>
      <w:r w:rsidR="004F7DBD">
        <w:t>a</w:t>
      </w:r>
      <w:r w:rsidR="00AC2C72">
        <w:t xml:space="preserve">. </w:t>
      </w:r>
    </w:p>
    <w:p w14:paraId="3E68E82D" w14:textId="77777777" w:rsidR="008E4AB0" w:rsidRDefault="008E4AB0" w:rsidP="008E4AB0">
      <w:pPr>
        <w:jc w:val="both"/>
      </w:pPr>
    </w:p>
    <w:p w14:paraId="54A9F788" w14:textId="192443B4" w:rsidR="009C1F02" w:rsidRPr="003B28D3" w:rsidRDefault="009C1F02" w:rsidP="009C1F02">
      <w:pPr>
        <w:jc w:val="both"/>
      </w:pPr>
      <w:r w:rsidRPr="003B28D3">
        <w:t xml:space="preserve">Mjerom iz točke II.c nalaže se HT-u da u najkraćem roku, a najkasnije u roku od devet mjeseci od </w:t>
      </w:r>
      <w:r>
        <w:t xml:space="preserve">dana </w:t>
      </w:r>
      <w:r w:rsidR="00DB24D3">
        <w:t xml:space="preserve">preuzimanja </w:t>
      </w:r>
      <w:r w:rsidR="00DB24D3" w:rsidRPr="00BA4AF6">
        <w:t>poslovnog udjela</w:t>
      </w:r>
      <w:r w:rsidR="00F42D13">
        <w:t xml:space="preserve"> Pro P</w:t>
      </w:r>
      <w:r w:rsidR="00020E8A">
        <w:t>inga</w:t>
      </w:r>
      <w:r w:rsidR="00DB24D3" w:rsidRPr="00BA4AF6">
        <w:t xml:space="preserve"> od strane</w:t>
      </w:r>
      <w:r w:rsidR="00DB24D3">
        <w:t xml:space="preserve"> HT-a</w:t>
      </w:r>
      <w:r w:rsidRPr="003B28D3">
        <w:t>, uspostavi funkcionalnu veleprodajnu uslugu širokopojasnog pristupa (NBSA) na preuzetoj infrastrukturi, pod uvjetima iz važeće Standardne ponude HT-a za uslugu veleprodajnog šir</w:t>
      </w:r>
      <w:r w:rsidR="004E35E1">
        <w:t>okopojasnog pristupa, uz obvezu</w:t>
      </w:r>
      <w:r w:rsidRPr="003B28D3">
        <w:t xml:space="preserve"> izvještavanja HAKOM-a o statusu integracije mreže i IT sustava te uspostavi i dostupnosti NBSA usluge</w:t>
      </w:r>
      <w:r w:rsidR="00AE3673">
        <w:t xml:space="preserve"> </w:t>
      </w:r>
      <w:r w:rsidR="00EB667E">
        <w:t xml:space="preserve">svaka tri mjeseca počevši od </w:t>
      </w:r>
      <w:r w:rsidR="00EB667E" w:rsidRPr="00A0637C">
        <w:t>dana preuzimanja Pro Ping</w:t>
      </w:r>
      <w:r w:rsidR="00EB667E">
        <w:t>a</w:t>
      </w:r>
      <w:r w:rsidR="00EB667E" w:rsidRPr="00A0637C">
        <w:t xml:space="preserve"> </w:t>
      </w:r>
      <w:r w:rsidR="00AE3673">
        <w:t>(mjera iz točke II.d)</w:t>
      </w:r>
      <w:r w:rsidRPr="003B28D3">
        <w:t>.</w:t>
      </w:r>
      <w:r w:rsidR="00EB667E">
        <w:t xml:space="preserve"> </w:t>
      </w:r>
    </w:p>
    <w:p w14:paraId="67B0CA94" w14:textId="77777777" w:rsidR="009C1F02" w:rsidRPr="003B28D3" w:rsidRDefault="009C1F02" w:rsidP="009C1F02">
      <w:pPr>
        <w:jc w:val="both"/>
      </w:pPr>
    </w:p>
    <w:p w14:paraId="25DD7C59" w14:textId="5F3B54A5" w:rsidR="009C1F02" w:rsidRPr="003B28D3" w:rsidRDefault="009C1F02" w:rsidP="009C1F02">
      <w:pPr>
        <w:jc w:val="both"/>
      </w:pPr>
      <w:r w:rsidRPr="003B28D3">
        <w:t xml:space="preserve">Potreba za ovom mjerom proizlazi iz </w:t>
      </w:r>
      <w:r w:rsidR="000150D1">
        <w:t xml:space="preserve">toga </w:t>
      </w:r>
      <w:r w:rsidRPr="003B28D3">
        <w:t xml:space="preserve">da je na područjima </w:t>
      </w:r>
      <w:r w:rsidR="00865DE3" w:rsidRPr="003B28D3">
        <w:t xml:space="preserve">na kojima dolazi do </w:t>
      </w:r>
      <w:r w:rsidR="00581AB2" w:rsidRPr="004757A5">
        <w:t>pr</w:t>
      </w:r>
      <w:r w:rsidR="00EA068B">
        <w:t>euzimanja</w:t>
      </w:r>
      <w:r w:rsidR="00581AB2" w:rsidRPr="003B28D3" w:rsidDel="00581AB2">
        <w:t xml:space="preserve"> </w:t>
      </w:r>
      <w:r w:rsidRPr="00834AD0">
        <w:rPr>
          <w:i/>
        </w:rPr>
        <w:t>bitstream</w:t>
      </w:r>
      <w:r w:rsidRPr="003B28D3">
        <w:t xml:space="preserve"> pristup, odnosno NBSA, </w:t>
      </w:r>
      <w:r w:rsidR="00581AB2" w:rsidRPr="00581AB2">
        <w:t>ključna veleprodajna usluga</w:t>
      </w:r>
      <w:r w:rsidRPr="003B28D3">
        <w:t xml:space="preserve"> za omogućavanje djelotvornog tržišnog natjecanja. </w:t>
      </w:r>
      <w:r w:rsidR="00A92584" w:rsidRPr="00A92584">
        <w:t>Pri određivanju ove mjere HAKOM je uzeo u obzir i navode HT-a,</w:t>
      </w:r>
      <w:r w:rsidR="00A92584">
        <w:t xml:space="preserve"> prema kojima</w:t>
      </w:r>
      <w:r w:rsidRPr="003B28D3">
        <w:t xml:space="preserve"> funkcionalna NBSA usluga na preuzetoj infrastrukturi neće biti dostupna odmah po provedbi koncentracije, nego tek nakon završetka integracije, </w:t>
      </w:r>
      <w:r w:rsidR="00773B63">
        <w:t>uz</w:t>
      </w:r>
      <w:r w:rsidRPr="003B28D3">
        <w:t xml:space="preserve"> prijelazno razdoblje procijenjeno na približno devet mjeseci.</w:t>
      </w:r>
      <w:r w:rsidR="000150D1">
        <w:t xml:space="preserve"> </w:t>
      </w:r>
      <w:r w:rsidRPr="003B28D3">
        <w:t xml:space="preserve">U okolnostima u kojima alternativni operatori bez odgovarajuće veleprodajne usluge ne mogu pružati konkurentne maloprodajne usluge, odgoda uspostave funkcionalnog NBSA pristupa predstavlja prepreku tržišnom natjecanju koja po svojim učincima odgovara </w:t>
      </w:r>
      <w:r w:rsidRPr="003B28D3">
        <w:lastRenderedPageBreak/>
        <w:t>pojavnim oblicima uskraćivanja pristupa, odgođenog pristupa i taktika odgađanja, već prepoznatima u važećim analizama tržišta</w:t>
      </w:r>
      <w:r w:rsidR="00360F21">
        <w:t xml:space="preserve"> </w:t>
      </w:r>
      <w:r w:rsidR="00360F21" w:rsidRPr="00DF6E37">
        <w:rPr>
          <w:color w:val="000000" w:themeColor="text1"/>
        </w:rPr>
        <w:t>M1/2020 i M3b/2014</w:t>
      </w:r>
      <w:r w:rsidRPr="003B28D3">
        <w:t>.</w:t>
      </w:r>
      <w:r w:rsidR="00773B63">
        <w:t xml:space="preserve"> </w:t>
      </w:r>
      <w:r w:rsidR="00773B63" w:rsidRPr="00773B63">
        <w:t xml:space="preserve">Mjera stoga </w:t>
      </w:r>
      <w:r w:rsidR="00773B63">
        <w:t>definira rok provedbe</w:t>
      </w:r>
      <w:r w:rsidR="00773B63" w:rsidRPr="00773B63">
        <w:t xml:space="preserve"> u skladu s procjenom</w:t>
      </w:r>
      <w:r w:rsidR="00773B63">
        <w:t xml:space="preserve"> i prijedlogom</w:t>
      </w:r>
      <w:r w:rsidR="00773B63" w:rsidRPr="00773B63">
        <w:t xml:space="preserve"> HT-a, ali joj se ovim rješenjem daje obvezujući rok i regulatorni okvir provedbe.</w:t>
      </w:r>
    </w:p>
    <w:p w14:paraId="7BAE83C2" w14:textId="2600A812" w:rsidR="00471B20" w:rsidRPr="003B28D3" w:rsidRDefault="00471B20" w:rsidP="009C1F02">
      <w:pPr>
        <w:jc w:val="both"/>
      </w:pPr>
    </w:p>
    <w:p w14:paraId="023C8DDD" w14:textId="5C8E1D29" w:rsidR="00471B20" w:rsidRPr="003B28D3" w:rsidRDefault="000150D1" w:rsidP="009C1F02">
      <w:pPr>
        <w:jc w:val="both"/>
      </w:pPr>
      <w:r>
        <w:t xml:space="preserve">Napominjemo kako se </w:t>
      </w:r>
      <w:r w:rsidRPr="00E762ED">
        <w:t>f</w:t>
      </w:r>
      <w:r w:rsidR="00787662" w:rsidRPr="00E762ED">
        <w:t>unkcionalnom</w:t>
      </w:r>
      <w:r w:rsidR="00787662" w:rsidRPr="00787662">
        <w:t xml:space="preserve"> uspostavom veleprodajne NBSA usluge smatra trenutak u kojem operatori korisnici mogu na predmetnim područjima podnositi zahtjeve za krajnje korisnike, </w:t>
      </w:r>
      <w:r w:rsidR="00787662" w:rsidRPr="00E762ED">
        <w:t>realizirati priključke</w:t>
      </w:r>
      <w:r w:rsidR="00787662" w:rsidRPr="00787662">
        <w:t xml:space="preserve"> i koristiti uslugu u operativnom smislu pod </w:t>
      </w:r>
      <w:r w:rsidR="008579AF" w:rsidRPr="00787662">
        <w:t>uvjetima</w:t>
      </w:r>
      <w:r w:rsidR="00742F02">
        <w:t xml:space="preserve"> iz važeće standardne ponude</w:t>
      </w:r>
      <w:r w:rsidR="008579AF">
        <w:t>.</w:t>
      </w:r>
    </w:p>
    <w:p w14:paraId="0868D216" w14:textId="77777777" w:rsidR="009C1F02" w:rsidRPr="003B28D3" w:rsidRDefault="009C1F02" w:rsidP="009C1F02">
      <w:pPr>
        <w:jc w:val="both"/>
      </w:pPr>
    </w:p>
    <w:p w14:paraId="3CF838BA" w14:textId="7F7D63C1" w:rsidR="009C1F02" w:rsidRPr="003B28D3" w:rsidRDefault="009C1F02" w:rsidP="009C1F02">
      <w:pPr>
        <w:jc w:val="both"/>
      </w:pPr>
      <w:r w:rsidRPr="003B28D3">
        <w:t>Određivanjem roka i obveze redovitog izvještavanja HAKOM osigurava:</w:t>
      </w:r>
    </w:p>
    <w:p w14:paraId="69554073" w14:textId="286EB8D7" w:rsidR="009C1F02" w:rsidRPr="003B28D3" w:rsidRDefault="009C1F02" w:rsidP="009C1F02">
      <w:pPr>
        <w:pStyle w:val="ListParagraph"/>
        <w:numPr>
          <w:ilvl w:val="0"/>
          <w:numId w:val="31"/>
        </w:numPr>
        <w:jc w:val="both"/>
      </w:pPr>
      <w:r w:rsidRPr="003B28D3">
        <w:t xml:space="preserve">da uspostava </w:t>
      </w:r>
      <w:r w:rsidR="007E2831" w:rsidRPr="003B28D3">
        <w:t>veleprodajn</w:t>
      </w:r>
      <w:r w:rsidR="007E2831">
        <w:t>e</w:t>
      </w:r>
      <w:r w:rsidR="007E2831" w:rsidRPr="003B28D3">
        <w:t xml:space="preserve"> </w:t>
      </w:r>
      <w:r w:rsidR="007E2831">
        <w:t>usluge</w:t>
      </w:r>
      <w:r w:rsidR="007E2831" w:rsidRPr="003B28D3">
        <w:t xml:space="preserve"> </w:t>
      </w:r>
      <w:r w:rsidRPr="003B28D3">
        <w:t>ne ostane samo deklarativna,</w:t>
      </w:r>
    </w:p>
    <w:p w14:paraId="06965F23" w14:textId="77777777" w:rsidR="009C1F02" w:rsidRPr="003B28D3" w:rsidRDefault="009C1F02" w:rsidP="009C1F02">
      <w:pPr>
        <w:pStyle w:val="ListParagraph"/>
        <w:numPr>
          <w:ilvl w:val="0"/>
          <w:numId w:val="31"/>
        </w:numPr>
        <w:jc w:val="both"/>
      </w:pPr>
      <w:r w:rsidRPr="003B28D3">
        <w:t>da se može pratiti stvarni tijek integracije i funkcionalne dostupnosti usluge,</w:t>
      </w:r>
    </w:p>
    <w:p w14:paraId="51CC6FA5" w14:textId="77777777" w:rsidR="009C1F02" w:rsidRPr="003B28D3" w:rsidRDefault="009C1F02" w:rsidP="009C1F02">
      <w:pPr>
        <w:pStyle w:val="ListParagraph"/>
        <w:numPr>
          <w:ilvl w:val="0"/>
          <w:numId w:val="31"/>
        </w:numPr>
        <w:jc w:val="both"/>
      </w:pPr>
      <w:r w:rsidRPr="003B28D3">
        <w:t>te da se pravodobno reagira ako dođe do kašnjenja, tehničkih problema ili drugih zapreka koje bi mogle produljiti prijelazno razdoblje i time dodatno oslabiti tržišno natjecanje.</w:t>
      </w:r>
    </w:p>
    <w:p w14:paraId="2AE3F40B" w14:textId="77777777" w:rsidR="009C1F02" w:rsidRPr="003B28D3" w:rsidRDefault="009C1F02" w:rsidP="009C1F02">
      <w:pPr>
        <w:jc w:val="both"/>
      </w:pPr>
    </w:p>
    <w:p w14:paraId="70620250" w14:textId="23B86E7E" w:rsidR="00471B20" w:rsidRPr="003B28D3" w:rsidRDefault="00471B20" w:rsidP="00471B20">
      <w:pPr>
        <w:jc w:val="both"/>
      </w:pPr>
      <w:r w:rsidRPr="003B28D3">
        <w:t>Mjerom iz točke II.</w:t>
      </w:r>
      <w:r w:rsidR="00395BF0">
        <w:t>e</w:t>
      </w:r>
      <w:r w:rsidR="00395BF0" w:rsidRPr="003B28D3">
        <w:t xml:space="preserve"> </w:t>
      </w:r>
      <w:r w:rsidRPr="003B28D3">
        <w:t xml:space="preserve">određuje se </w:t>
      </w:r>
      <w:r w:rsidR="00865DE3" w:rsidRPr="003B28D3">
        <w:t>prijelazna mjera</w:t>
      </w:r>
      <w:r w:rsidRPr="003B28D3">
        <w:t xml:space="preserve"> za maloprodajne ponude na preuzetoj infrastrukturi </w:t>
      </w:r>
      <w:r w:rsidR="007F64F2">
        <w:t xml:space="preserve">od dana donošenja ovoga rješenja </w:t>
      </w:r>
      <w:r w:rsidRPr="003B28D3">
        <w:t xml:space="preserve">do isteka roka iz točke II.c, odnosno do funkcionalne uspostave NBSA usluge. U tom razdoblju HT </w:t>
      </w:r>
      <w:r w:rsidR="006731A3">
        <w:t>i Pro Ping mogu</w:t>
      </w:r>
      <w:r w:rsidRPr="003B28D3">
        <w:t xml:space="preserve"> nuditi i ugovarati isključivo postojeće Pro Ping pakete </w:t>
      </w:r>
      <w:r w:rsidR="008D16EA">
        <w:t>važeće</w:t>
      </w:r>
      <w:r w:rsidRPr="003B28D3">
        <w:t xml:space="preserve"> na dan </w:t>
      </w:r>
      <w:r w:rsidR="008D16EA">
        <w:t>zaprimanja potpune prijave namjere preuzimanja društva Pro Ping</w:t>
      </w:r>
      <w:r w:rsidRPr="003B28D3">
        <w:t>, po cijenama koje su u cjeniku iskazane za razdoblje bez minimalnog trajanja ugovorne obveze, pri čemu ne smije uvoditi nove niti mijenjati postojeće pakete niti ugovorno obvezivati krajnje korisnike. Istodobno je obvezan uskladiti cjenik usluga Pro Ping tako da sadrži isključivo pakete dostupne za aktivaciju.</w:t>
      </w:r>
    </w:p>
    <w:p w14:paraId="401E28B8" w14:textId="77777777" w:rsidR="00471B20" w:rsidRPr="003B28D3" w:rsidRDefault="00471B20" w:rsidP="00471B20">
      <w:pPr>
        <w:jc w:val="both"/>
      </w:pPr>
    </w:p>
    <w:p w14:paraId="3F17F74C" w14:textId="65A1F61B" w:rsidR="00471B20" w:rsidRPr="000275B4" w:rsidRDefault="00471B20" w:rsidP="00471B20">
      <w:pPr>
        <w:jc w:val="both"/>
      </w:pPr>
      <w:r w:rsidRPr="003B28D3">
        <w:t xml:space="preserve">Ova je mjera nužna jer u prijelaznom razdoblju do uspostave funkcionalne NBSA usluge alternativni operatori nemaju na raspolaganju </w:t>
      </w:r>
      <w:r w:rsidR="00FD545F" w:rsidRPr="003B28D3">
        <w:t>odgovarajuć</w:t>
      </w:r>
      <w:r w:rsidR="00FD545F">
        <w:t>u</w:t>
      </w:r>
      <w:r w:rsidR="00FD545F" w:rsidRPr="003B28D3">
        <w:t xml:space="preserve"> veleprodajn</w:t>
      </w:r>
      <w:r w:rsidR="00FD545F">
        <w:t>u</w:t>
      </w:r>
      <w:r w:rsidR="00FD545F" w:rsidRPr="003B28D3">
        <w:t xml:space="preserve"> </w:t>
      </w:r>
      <w:r w:rsidR="00FD545F">
        <w:t>uslugu</w:t>
      </w:r>
      <w:r w:rsidRPr="003B28D3">
        <w:t xml:space="preserve"> </w:t>
      </w:r>
      <w:r w:rsidR="00FD545F" w:rsidRPr="003B28D3">
        <w:t>koj</w:t>
      </w:r>
      <w:r w:rsidR="00FD545F">
        <w:t>a</w:t>
      </w:r>
      <w:r w:rsidR="00FD545F" w:rsidRPr="003B28D3">
        <w:t xml:space="preserve"> </w:t>
      </w:r>
      <w:r w:rsidRPr="003B28D3">
        <w:t xml:space="preserve">bi im </w:t>
      </w:r>
      <w:r w:rsidR="00FD545F" w:rsidRPr="003B28D3">
        <w:t>omogući</w:t>
      </w:r>
      <w:r w:rsidR="00FD545F">
        <w:t>la</w:t>
      </w:r>
      <w:r w:rsidR="00FD545F" w:rsidRPr="003B28D3">
        <w:t xml:space="preserve"> </w:t>
      </w:r>
      <w:r w:rsidRPr="003B28D3">
        <w:t xml:space="preserve">učinkovitu replikaciju maloprodajnih ponuda HT-a na preuzetoj infrastrukturi. U takvim okolnostima postoji mogućnost da HT koristi preuzetu infrastrukturu i korisničku bazu kako bi na maloprodajnoj razini </w:t>
      </w:r>
      <w:r w:rsidRPr="000275B4">
        <w:t>dodatno ojačao svoju tržišnu poziciju, osobito sklapanjem novih ugovora uz ugovornu obvezu ili nuđenjem novih odnosno izmijenjenih paketa koje konkurenti ne mogu pravodobno replicirati.</w:t>
      </w:r>
      <w:r w:rsidR="007C3732" w:rsidRPr="007C3732">
        <w:t xml:space="preserve"> </w:t>
      </w:r>
      <w:r w:rsidR="007C3732">
        <w:t>Nadalje, nužno je odrediti primjenu</w:t>
      </w:r>
      <w:r w:rsidR="007C3732" w:rsidRPr="007C3732">
        <w:t xml:space="preserve"> ove mjere od dana donošenja rješenja </w:t>
      </w:r>
      <w:r w:rsidR="007C3732">
        <w:t>budući da</w:t>
      </w:r>
      <w:r w:rsidR="007C3732" w:rsidRPr="007C3732">
        <w:t xml:space="preserve"> trajanje razdoblja do zaključenja transakcije</w:t>
      </w:r>
      <w:r w:rsidR="005726AF">
        <w:t xml:space="preserve">, </w:t>
      </w:r>
      <w:r w:rsidR="005726AF" w:rsidRPr="005726AF">
        <w:t xml:space="preserve">odnosno preuzimanja poslovnog udjela od strane </w:t>
      </w:r>
      <w:r w:rsidR="005726AF">
        <w:t xml:space="preserve">HT-a, </w:t>
      </w:r>
      <w:r w:rsidR="007C3732" w:rsidRPr="007C3732">
        <w:t xml:space="preserve">nije </w:t>
      </w:r>
      <w:r w:rsidR="007C3732">
        <w:t>unaprijed poznato. B</w:t>
      </w:r>
      <w:r w:rsidR="007C3732" w:rsidRPr="007C3732">
        <w:t>ez takvog određ</w:t>
      </w:r>
      <w:r w:rsidR="007C3732">
        <w:t>ivanja postojala bi mogućnost da Pro Ping</w:t>
      </w:r>
      <w:r w:rsidR="007C3732" w:rsidRPr="007C3732">
        <w:t xml:space="preserve"> u tom </w:t>
      </w:r>
      <w:r w:rsidR="007C3732">
        <w:t>razdoblju</w:t>
      </w:r>
      <w:r w:rsidR="007C3732" w:rsidRPr="007C3732">
        <w:t xml:space="preserve"> provodi komercijalne aktivnosti usmjerene na povećanje baze korisnika</w:t>
      </w:r>
      <w:r w:rsidR="00AC3B34">
        <w:t xml:space="preserve">, </w:t>
      </w:r>
      <w:r w:rsidR="007C3732">
        <w:t>čime</w:t>
      </w:r>
      <w:r w:rsidR="007C3732" w:rsidRPr="007C3732">
        <w:t xml:space="preserve"> bi se n</w:t>
      </w:r>
      <w:r w:rsidR="007C3732">
        <w:t xml:space="preserve">arušila svrha prijelazne mjere i </w:t>
      </w:r>
      <w:r w:rsidR="001F0D9C">
        <w:t xml:space="preserve">stvorila </w:t>
      </w:r>
      <w:r w:rsidR="007C3732" w:rsidRPr="007C3732">
        <w:t>neopravdana tržišna prednost.</w:t>
      </w:r>
      <w:r w:rsidR="00F46B0D">
        <w:t xml:space="preserve"> </w:t>
      </w:r>
      <w:r w:rsidRPr="000275B4">
        <w:t>Mjera je stoga usmjerena na:</w:t>
      </w:r>
    </w:p>
    <w:p w14:paraId="1576F0BC" w14:textId="60697849" w:rsidR="00471B20" w:rsidRPr="000275B4" w:rsidRDefault="00471B20" w:rsidP="00471B20">
      <w:pPr>
        <w:pStyle w:val="ListParagraph"/>
        <w:numPr>
          <w:ilvl w:val="0"/>
          <w:numId w:val="32"/>
        </w:numPr>
        <w:jc w:val="both"/>
      </w:pPr>
      <w:r w:rsidRPr="000275B4">
        <w:t xml:space="preserve">sprječavanje dugoročnog vezivanja korisnika u razdoblju u kojem ne postoji </w:t>
      </w:r>
      <w:r w:rsidR="00FD545F" w:rsidRPr="000275B4">
        <w:t>funkcional</w:t>
      </w:r>
      <w:r w:rsidR="00FD545F">
        <w:t>na</w:t>
      </w:r>
      <w:r w:rsidR="00FD545F" w:rsidRPr="000275B4">
        <w:t xml:space="preserve"> veleprodajn</w:t>
      </w:r>
      <w:r w:rsidR="00FD545F">
        <w:t>a</w:t>
      </w:r>
      <w:r w:rsidR="00FD545F" w:rsidRPr="000275B4">
        <w:t xml:space="preserve"> </w:t>
      </w:r>
      <w:r w:rsidR="00FD545F">
        <w:t>usluga</w:t>
      </w:r>
      <w:r w:rsidRPr="000275B4">
        <w:t xml:space="preserve"> za konkurente,</w:t>
      </w:r>
    </w:p>
    <w:p w14:paraId="0EFE12C6" w14:textId="63C306FD" w:rsidR="00471B20" w:rsidRPr="000275B4" w:rsidRDefault="00471B20" w:rsidP="00471B20">
      <w:pPr>
        <w:pStyle w:val="ListParagraph"/>
        <w:numPr>
          <w:ilvl w:val="0"/>
          <w:numId w:val="32"/>
        </w:numPr>
        <w:jc w:val="both"/>
      </w:pPr>
      <w:r w:rsidRPr="000275B4">
        <w:t xml:space="preserve">sprječavanje uvođenja novih </w:t>
      </w:r>
      <w:r w:rsidR="0013019B">
        <w:t xml:space="preserve">atraktivnih </w:t>
      </w:r>
      <w:r w:rsidRPr="000275B4">
        <w:t xml:space="preserve">komercijalnih </w:t>
      </w:r>
      <w:r w:rsidR="0013019B">
        <w:t>ponuda</w:t>
      </w:r>
      <w:r w:rsidR="0013019B" w:rsidRPr="000275B4">
        <w:t xml:space="preserve"> </w:t>
      </w:r>
      <w:r w:rsidRPr="000275B4">
        <w:t>koj</w:t>
      </w:r>
      <w:r w:rsidR="00356C0F">
        <w:t>ima</w:t>
      </w:r>
      <w:r w:rsidRPr="000275B4">
        <w:t xml:space="preserve"> bi </w:t>
      </w:r>
      <w:r w:rsidR="000916FD">
        <w:t xml:space="preserve">HT </w:t>
      </w:r>
      <w:r w:rsidRPr="000275B4">
        <w:t xml:space="preserve">dodatno </w:t>
      </w:r>
      <w:r w:rsidR="000916FD">
        <w:t>ojačao svoju</w:t>
      </w:r>
      <w:r w:rsidR="000916FD" w:rsidRPr="000275B4">
        <w:t xml:space="preserve"> </w:t>
      </w:r>
      <w:r w:rsidRPr="000275B4">
        <w:t>tržišnu prednost,</w:t>
      </w:r>
    </w:p>
    <w:p w14:paraId="4422EB6E" w14:textId="1F46121B" w:rsidR="00471B20" w:rsidRPr="000275B4" w:rsidRDefault="00471B20" w:rsidP="00471B20">
      <w:pPr>
        <w:pStyle w:val="ListParagraph"/>
        <w:numPr>
          <w:ilvl w:val="0"/>
          <w:numId w:val="32"/>
        </w:numPr>
        <w:jc w:val="both"/>
      </w:pPr>
      <w:r w:rsidRPr="000275B4">
        <w:t xml:space="preserve">te očuvanje tržišnog </w:t>
      </w:r>
      <w:r w:rsidRPr="000F184C">
        <w:rPr>
          <w:i/>
        </w:rPr>
        <w:t>statusa quo</w:t>
      </w:r>
      <w:r w:rsidRPr="000275B4">
        <w:t xml:space="preserve"> na maloprodajnoj razini do trenutka kada operatori korisnici dobiju stvarnu mogućnost </w:t>
      </w:r>
      <w:r w:rsidR="00CF55F2">
        <w:t xml:space="preserve">korištenja veleprodajne usluge. </w:t>
      </w:r>
    </w:p>
    <w:p w14:paraId="0AAEA8F7" w14:textId="77777777" w:rsidR="00471B20" w:rsidRPr="000275B4" w:rsidRDefault="00471B20" w:rsidP="00471B20">
      <w:pPr>
        <w:jc w:val="both"/>
      </w:pPr>
    </w:p>
    <w:p w14:paraId="17EE9E46" w14:textId="4C3C3ABB" w:rsidR="00B22DC3" w:rsidRPr="003B28D3" w:rsidRDefault="00471B20" w:rsidP="003B28D3">
      <w:pPr>
        <w:jc w:val="both"/>
      </w:pPr>
      <w:r w:rsidRPr="000275B4">
        <w:t xml:space="preserve">Obveza usklađivanja cjenika dodatno je potrebna radi transparentnosti i pravne sigurnosti, kako bi se osiguralo da krajnjim korisnicima budu jasno </w:t>
      </w:r>
      <w:r w:rsidR="00D24E36">
        <w:t>iskazane</w:t>
      </w:r>
      <w:r w:rsidR="00D24E36" w:rsidRPr="000275B4">
        <w:t xml:space="preserve"> </w:t>
      </w:r>
      <w:r w:rsidRPr="000275B4">
        <w:t xml:space="preserve">samo one ponude koje je u prijelaznom </w:t>
      </w:r>
      <w:r w:rsidRPr="003B28D3">
        <w:t xml:space="preserve">razdoblju dopušteno aktivirati. Time se sprječava situacija u kojoj bi u cjeniku ostale prikazane ponude koje se formalno vode kao </w:t>
      </w:r>
      <w:r w:rsidR="00D24E36">
        <w:t>aktivne</w:t>
      </w:r>
      <w:r w:rsidRPr="003B28D3">
        <w:t xml:space="preserve">, ali koje se prema </w:t>
      </w:r>
      <w:r w:rsidR="00D24E36">
        <w:t>mjerama</w:t>
      </w:r>
      <w:r w:rsidR="00D24E36" w:rsidRPr="003B28D3">
        <w:t xml:space="preserve"> </w:t>
      </w:r>
      <w:r w:rsidRPr="003B28D3">
        <w:t>iz o</w:t>
      </w:r>
      <w:r w:rsidR="00662713">
        <w:t xml:space="preserve">vog rješenja ne </w:t>
      </w:r>
      <w:r w:rsidR="00662713">
        <w:lastRenderedPageBreak/>
        <w:t xml:space="preserve">smiju ugovarati. </w:t>
      </w:r>
      <w:r w:rsidRPr="003B28D3">
        <w:t>Mjera je razmjerna jer ne zabranjuje pružanje postojećih usluga niti ne zahtijeva t</w:t>
      </w:r>
      <w:r w:rsidR="00D70C49">
        <w:t xml:space="preserve">rajno </w:t>
      </w:r>
      <w:r w:rsidRPr="003B28D3">
        <w:t xml:space="preserve">ukidanje </w:t>
      </w:r>
      <w:r w:rsidR="00D24E36">
        <w:t>postojećih ponuda</w:t>
      </w:r>
      <w:r w:rsidRPr="003B28D3">
        <w:t xml:space="preserve">, nego samo privremeno ograničava način njihova ugovaranja i sprječava uvođenje novih komercijalnih </w:t>
      </w:r>
      <w:r w:rsidR="00B558A1">
        <w:t>ponuda</w:t>
      </w:r>
      <w:r w:rsidR="00323278" w:rsidRPr="003B28D3">
        <w:t xml:space="preserve"> </w:t>
      </w:r>
      <w:r w:rsidRPr="003B28D3">
        <w:t>koji bi mogli dovesti do prijenosa tržišne snage na maloprodajnu razinu prije uspostave uvjeta za učinkovito tržišno natjecanje.</w:t>
      </w:r>
      <w:r w:rsidRPr="003B28D3" w:rsidDel="00471B20">
        <w:t xml:space="preserve"> </w:t>
      </w:r>
    </w:p>
    <w:p w14:paraId="7CF7518F" w14:textId="77777777" w:rsidR="00B20805" w:rsidRDefault="00B20805" w:rsidP="001B10A9">
      <w:pPr>
        <w:jc w:val="both"/>
        <w:rPr>
          <w:i/>
        </w:rPr>
      </w:pPr>
    </w:p>
    <w:p w14:paraId="2D0CB014" w14:textId="7A2BA10C" w:rsidR="00471B20" w:rsidRPr="003B28D3" w:rsidRDefault="00471B20" w:rsidP="00471B20">
      <w:pPr>
        <w:jc w:val="both"/>
      </w:pPr>
      <w:r w:rsidRPr="003B28D3">
        <w:t>Sve navedene mjere međusobno su povezane i čine jedinstven</w:t>
      </w:r>
      <w:r w:rsidR="001911C4">
        <w:t xml:space="preserve"> i koherentan</w:t>
      </w:r>
      <w:r w:rsidRPr="003B28D3">
        <w:t xml:space="preserve"> skup uvjeta usmjerenih na ublažavanje učinaka koncentracije na veleprodajnoj i maloprodajnoj razini. Njihova svrha nije zamijeniti postupak analize tržišta nego osigurati da provedba </w:t>
      </w:r>
      <w:r w:rsidR="000C244C">
        <w:t xml:space="preserve">predmetne </w:t>
      </w:r>
      <w:r w:rsidRPr="003B28D3">
        <w:t xml:space="preserve">koncentracije ne </w:t>
      </w:r>
      <w:r w:rsidR="001911C4">
        <w:t>rezultira</w:t>
      </w:r>
      <w:r w:rsidRPr="003B28D3">
        <w:t>:</w:t>
      </w:r>
    </w:p>
    <w:p w14:paraId="53400CE6" w14:textId="065C174A" w:rsidR="00471B20" w:rsidRPr="003B28D3" w:rsidRDefault="00471B20" w:rsidP="00471B20">
      <w:pPr>
        <w:pStyle w:val="ListParagraph"/>
        <w:numPr>
          <w:ilvl w:val="0"/>
          <w:numId w:val="33"/>
        </w:numPr>
        <w:jc w:val="both"/>
      </w:pPr>
      <w:r w:rsidRPr="003B28D3">
        <w:t>uklanjanj</w:t>
      </w:r>
      <w:r w:rsidR="001911C4">
        <w:t>em</w:t>
      </w:r>
      <w:r w:rsidRPr="003B28D3">
        <w:t xml:space="preserve"> postojeće </w:t>
      </w:r>
      <w:r w:rsidR="00A7402E">
        <w:t xml:space="preserve">alternativne </w:t>
      </w:r>
      <w:r w:rsidRPr="003B28D3">
        <w:t>infrastruktur</w:t>
      </w:r>
      <w:r w:rsidR="00A7402E">
        <w:t>e</w:t>
      </w:r>
      <w:r w:rsidRPr="003B28D3" w:rsidDel="00A7402E">
        <w:t xml:space="preserve"> </w:t>
      </w:r>
      <w:r w:rsidRPr="003B28D3">
        <w:t xml:space="preserve">bez odgovarajuće </w:t>
      </w:r>
      <w:r w:rsidR="003722DD">
        <w:t>veleprodajne usluge</w:t>
      </w:r>
      <w:r w:rsidRPr="003B28D3">
        <w:t>,</w:t>
      </w:r>
    </w:p>
    <w:p w14:paraId="5B3BB5EF" w14:textId="70AE222F" w:rsidR="00471B20" w:rsidRPr="003B28D3" w:rsidRDefault="00471B20" w:rsidP="00471B20">
      <w:pPr>
        <w:pStyle w:val="ListParagraph"/>
        <w:numPr>
          <w:ilvl w:val="0"/>
          <w:numId w:val="33"/>
        </w:numPr>
        <w:jc w:val="both"/>
      </w:pPr>
      <w:r w:rsidRPr="003B28D3">
        <w:t>dodatn</w:t>
      </w:r>
      <w:r w:rsidR="001911C4">
        <w:t>im</w:t>
      </w:r>
      <w:r w:rsidRPr="003B28D3">
        <w:t xml:space="preserve"> </w:t>
      </w:r>
      <w:r w:rsidR="001911C4">
        <w:t>jačanjem</w:t>
      </w:r>
      <w:r w:rsidRPr="003B28D3">
        <w:t xml:space="preserve"> tržišne </w:t>
      </w:r>
      <w:r w:rsidR="00A7402E">
        <w:t>snage</w:t>
      </w:r>
      <w:r w:rsidR="00A7402E" w:rsidRPr="003B28D3">
        <w:t xml:space="preserve"> </w:t>
      </w:r>
      <w:r w:rsidRPr="003B28D3">
        <w:t xml:space="preserve">HT-a na </w:t>
      </w:r>
      <w:r w:rsidR="00A7402E">
        <w:t xml:space="preserve">geografskim </w:t>
      </w:r>
      <w:r w:rsidRPr="003B28D3">
        <w:t>područjima</w:t>
      </w:r>
      <w:r w:rsidR="00356C0F">
        <w:t xml:space="preserve"> na kojima dolazi do pr</w:t>
      </w:r>
      <w:r w:rsidR="00894A6D">
        <w:t>euzimanja</w:t>
      </w:r>
      <w:r w:rsidRPr="003B28D3">
        <w:t>,</w:t>
      </w:r>
    </w:p>
    <w:p w14:paraId="1CBF7E9F" w14:textId="5780A1D1" w:rsidR="00471B20" w:rsidRPr="003B28D3" w:rsidRDefault="003722DD" w:rsidP="00471B20">
      <w:pPr>
        <w:pStyle w:val="ListParagraph"/>
        <w:numPr>
          <w:ilvl w:val="0"/>
          <w:numId w:val="33"/>
        </w:numPr>
        <w:jc w:val="both"/>
      </w:pPr>
      <w:r w:rsidRPr="003B28D3">
        <w:t>otežavanj</w:t>
      </w:r>
      <w:r>
        <w:t>em</w:t>
      </w:r>
      <w:r w:rsidRPr="003B28D3">
        <w:t xml:space="preserve"> </w:t>
      </w:r>
      <w:r w:rsidR="00471B20" w:rsidRPr="003B28D3">
        <w:t xml:space="preserve">ili </w:t>
      </w:r>
      <w:r w:rsidRPr="003B28D3">
        <w:t>onemogućavanj</w:t>
      </w:r>
      <w:r>
        <w:t>em</w:t>
      </w:r>
      <w:r w:rsidRPr="003B28D3">
        <w:t xml:space="preserve"> </w:t>
      </w:r>
      <w:r w:rsidR="00471B20" w:rsidRPr="003B28D3">
        <w:t>djelovanja alternativnih operatora,</w:t>
      </w:r>
    </w:p>
    <w:p w14:paraId="796969B5" w14:textId="7CCCABFC" w:rsidR="00471B20" w:rsidRDefault="001911C4" w:rsidP="00471B20">
      <w:pPr>
        <w:pStyle w:val="ListParagraph"/>
        <w:numPr>
          <w:ilvl w:val="0"/>
          <w:numId w:val="33"/>
        </w:numPr>
        <w:jc w:val="both"/>
      </w:pPr>
      <w:r>
        <w:t>ograničavanjem mogućnosti krajnjih korisnika za promjenom operatora tijekom</w:t>
      </w:r>
      <w:r w:rsidR="00471B20" w:rsidRPr="003B28D3">
        <w:t xml:space="preserve"> prijelazn</w:t>
      </w:r>
      <w:r>
        <w:t>og</w:t>
      </w:r>
      <w:r w:rsidR="00471B20" w:rsidRPr="003B28D3">
        <w:t xml:space="preserve"> razdoblj</w:t>
      </w:r>
      <w:r>
        <w:t>a</w:t>
      </w:r>
      <w:r w:rsidR="00471B20" w:rsidRPr="003B28D3">
        <w:t xml:space="preserve"> u kojem ne postoje uvjeti za tržišno natjecanje</w:t>
      </w:r>
      <w:r>
        <w:t xml:space="preserve">, </w:t>
      </w:r>
    </w:p>
    <w:p w14:paraId="70831CFE" w14:textId="0A36BF46" w:rsidR="007F64F2" w:rsidRPr="003B28D3" w:rsidRDefault="00F60165" w:rsidP="00471B20">
      <w:pPr>
        <w:pStyle w:val="ListParagraph"/>
        <w:numPr>
          <w:ilvl w:val="0"/>
          <w:numId w:val="33"/>
        </w:numPr>
        <w:jc w:val="both"/>
      </w:pPr>
      <w:r>
        <w:t>smanjivanjem</w:t>
      </w:r>
      <w:r w:rsidR="007F64F2">
        <w:t xml:space="preserve"> mogućnosti izbora za krajnje korisnike </w:t>
      </w:r>
      <w:r w:rsidR="00D5432C">
        <w:t xml:space="preserve">što dugoročno može imati negativne posljedice kao što su </w:t>
      </w:r>
      <w:r w:rsidR="007F64F2">
        <w:t>viš</w:t>
      </w:r>
      <w:r w:rsidR="001911C4">
        <w:t>e</w:t>
      </w:r>
      <w:r w:rsidR="007F64F2">
        <w:t xml:space="preserve"> cijen</w:t>
      </w:r>
      <w:r w:rsidR="001911C4">
        <w:t>e</w:t>
      </w:r>
      <w:r w:rsidR="007F64F2">
        <w:t xml:space="preserve"> i niž</w:t>
      </w:r>
      <w:r w:rsidR="00D5432C">
        <w:t>a</w:t>
      </w:r>
      <w:r w:rsidR="00AC3B34">
        <w:t xml:space="preserve"> razina</w:t>
      </w:r>
      <w:r w:rsidR="007F64F2">
        <w:t xml:space="preserve"> kvalitete usluge</w:t>
      </w:r>
      <w:r>
        <w:t>.</w:t>
      </w:r>
    </w:p>
    <w:p w14:paraId="5C093DB0" w14:textId="77777777" w:rsidR="00471B20" w:rsidRPr="003B28D3" w:rsidRDefault="00471B20" w:rsidP="00471B20">
      <w:pPr>
        <w:jc w:val="both"/>
      </w:pPr>
    </w:p>
    <w:p w14:paraId="7669A0D7" w14:textId="4646C5C7" w:rsidR="00471B20" w:rsidRPr="003B28D3" w:rsidRDefault="009C5425" w:rsidP="00471B20">
      <w:pPr>
        <w:jc w:val="both"/>
      </w:pPr>
      <w:r>
        <w:t>HAKOM</w:t>
      </w:r>
      <w:r w:rsidR="00471B20" w:rsidRPr="003B28D3">
        <w:t xml:space="preserve"> ocjenjuje da su određene mjere nužne, razmjerne i primjerene utvrđenim učincima predmetne koncentracije te prikladne za zaštitu tržišnog natjecanja, krajnjih korisnika i ostalih regulatornih ciljeva iz članka 7. ZEK-a.</w:t>
      </w:r>
    </w:p>
    <w:p w14:paraId="7C66B2D6" w14:textId="77777777" w:rsidR="00787662" w:rsidRPr="00471B20" w:rsidRDefault="00787662" w:rsidP="00471B20">
      <w:pPr>
        <w:jc w:val="both"/>
        <w:rPr>
          <w:color w:val="FF0000"/>
        </w:rPr>
      </w:pPr>
    </w:p>
    <w:p w14:paraId="258D577A" w14:textId="1A4BE10E" w:rsidR="009E4037" w:rsidRDefault="009E4037" w:rsidP="009E4037">
      <w:pPr>
        <w:jc w:val="both"/>
      </w:pPr>
      <w:r>
        <w:t>HAKOM će u okviru budućih analiza tržišta ponovno ispitati status predmetnih geografskih jedinica te, ako se za to ispune uvjeti, utvrditi postojanje značajne tržišne snage i odrediti odgovarajuće regulatorne obveze.</w:t>
      </w:r>
    </w:p>
    <w:p w14:paraId="070EFF1A" w14:textId="77777777" w:rsidR="00DF49D5" w:rsidRDefault="00DF49D5" w:rsidP="003D0E8A">
      <w:pPr>
        <w:jc w:val="both"/>
      </w:pPr>
    </w:p>
    <w:p w14:paraId="59ECC430" w14:textId="21468E2C" w:rsidR="003D0E8A" w:rsidRPr="008E4AB0" w:rsidRDefault="003D0E8A" w:rsidP="003D0E8A">
      <w:pPr>
        <w:jc w:val="both"/>
      </w:pPr>
      <w:r w:rsidRPr="00E5651F">
        <w:t>Temeljem svega prethodno navedenog HAKOM je</w:t>
      </w:r>
      <w:r w:rsidR="007B21C5">
        <w:t xml:space="preserve"> </w:t>
      </w:r>
      <w:r w:rsidR="00F535DE">
        <w:t xml:space="preserve">u posebnom ZEK-om propisanom postupku ocjenjivanja koncentracija </w:t>
      </w:r>
      <w:r w:rsidRPr="00E5651F">
        <w:t>ocijenio da je predmetna koncentracija uvjetno dopuštena, uz primjenu predloženih mjer</w:t>
      </w:r>
      <w:r w:rsidR="008E4AB0">
        <w:t>a</w:t>
      </w:r>
      <w:r w:rsidR="005C1565">
        <w:t>, uvjeta i rokova</w:t>
      </w:r>
      <w:r w:rsidR="007B21C5">
        <w:t xml:space="preserve"> te je odlučio </w:t>
      </w:r>
      <w:r w:rsidR="008E4AB0">
        <w:t>kao u izreci.</w:t>
      </w:r>
    </w:p>
    <w:p w14:paraId="5FBFF364" w14:textId="77777777" w:rsidR="003D0E8A" w:rsidRPr="00BD3718" w:rsidRDefault="003D0E8A" w:rsidP="003D0E8A">
      <w:pPr>
        <w:jc w:val="both"/>
        <w:rPr>
          <w:rFonts w:ascii="Tele-GroteskEENor" w:hAnsi="Tele-GroteskEENor"/>
        </w:rPr>
      </w:pPr>
    </w:p>
    <w:p w14:paraId="093262CA" w14:textId="11EEC97E" w:rsidR="0090664B" w:rsidRDefault="0090664B" w:rsidP="0090664B">
      <w:pPr>
        <w:jc w:val="both"/>
        <w:rPr>
          <w:rFonts w:ascii="Tele-GroteskEENor" w:hAnsi="Tele-GroteskEENor"/>
        </w:rPr>
      </w:pPr>
      <w:r>
        <w:rPr>
          <w:rFonts w:ascii="Tele-GroteskEENor" w:hAnsi="Tele-GroteskEENor"/>
        </w:rPr>
        <w:t>Sukladno članku 30. ZEK-a</w:t>
      </w:r>
      <w:r w:rsidR="000D5E3F">
        <w:rPr>
          <w:rFonts w:ascii="Tele-GroteskEENor" w:hAnsi="Tele-GroteskEENor"/>
        </w:rPr>
        <w:t>,</w:t>
      </w:r>
      <w:r>
        <w:rPr>
          <w:rFonts w:ascii="Tele-GroteskEENor" w:hAnsi="Tele-GroteskEENor"/>
        </w:rPr>
        <w:t xml:space="preserve"> o ovom prijedlogu provest će se javno savjetovanje </w:t>
      </w:r>
      <w:r w:rsidRPr="002836B2">
        <w:rPr>
          <w:rFonts w:ascii="Tele-GroteskEENor" w:hAnsi="Tele-GroteskEENor"/>
        </w:rPr>
        <w:t>u razdoblju od 18. lipnja 202</w:t>
      </w:r>
      <w:r w:rsidR="004D7C89" w:rsidRPr="002836B2">
        <w:rPr>
          <w:rFonts w:ascii="Tele-GroteskEENor" w:hAnsi="Tele-GroteskEENor"/>
        </w:rPr>
        <w:t>6</w:t>
      </w:r>
      <w:r w:rsidRPr="002836B2">
        <w:rPr>
          <w:rFonts w:ascii="Tele-GroteskEENor" w:hAnsi="Tele-GroteskEENor"/>
        </w:rPr>
        <w:t xml:space="preserve">. do </w:t>
      </w:r>
      <w:r w:rsidR="002836B2" w:rsidRPr="002836B2">
        <w:rPr>
          <w:rFonts w:ascii="Tele-GroteskEENor" w:hAnsi="Tele-GroteskEENor"/>
        </w:rPr>
        <w:t>20</w:t>
      </w:r>
      <w:r w:rsidRPr="002836B2">
        <w:rPr>
          <w:rFonts w:ascii="Tele-GroteskEENor" w:hAnsi="Tele-GroteskEENor"/>
        </w:rPr>
        <w:t>. srpnja</w:t>
      </w:r>
      <w:r w:rsidR="004D7C89" w:rsidRPr="002836B2">
        <w:rPr>
          <w:rFonts w:ascii="Tele-GroteskEENor" w:hAnsi="Tele-GroteskEENor"/>
        </w:rPr>
        <w:t xml:space="preserve"> 2026</w:t>
      </w:r>
      <w:r w:rsidRPr="002836B2">
        <w:rPr>
          <w:rFonts w:ascii="Tele-GroteskEENor" w:hAnsi="Tele-GroteskEENor"/>
        </w:rPr>
        <w:t>.</w:t>
      </w:r>
    </w:p>
    <w:p w14:paraId="778FE2DD" w14:textId="5A1F4F60" w:rsidR="00BD3718" w:rsidRPr="00BD3718" w:rsidRDefault="00662713" w:rsidP="00BD3718">
      <w:pPr>
        <w:jc w:val="both"/>
        <w:rPr>
          <w:rFonts w:ascii="Tele-GroteskEENor" w:hAnsi="Tele-GroteskEENor"/>
        </w:rPr>
      </w:pPr>
      <w:r w:rsidRPr="00BD3718">
        <w:rPr>
          <w:rFonts w:ascii="Tele-GroteskEENor" w:hAnsi="Tele-GroteskEENor"/>
        </w:rPr>
        <w:t xml:space="preserve"> </w:t>
      </w:r>
    </w:p>
    <w:p w14:paraId="3F3585DD" w14:textId="77777777" w:rsidR="007339BB" w:rsidRPr="00BD3718" w:rsidRDefault="007339BB" w:rsidP="007339BB">
      <w:pPr>
        <w:jc w:val="both"/>
      </w:pPr>
      <w:r w:rsidRPr="00BD3718">
        <w:t xml:space="preserve">UPUTA O PRAVNOM LIJEKU: </w:t>
      </w:r>
    </w:p>
    <w:p w14:paraId="035D38F2" w14:textId="77777777" w:rsidR="007339BB" w:rsidRPr="00BD3718" w:rsidRDefault="007339BB" w:rsidP="007339BB">
      <w:pPr>
        <w:jc w:val="both"/>
        <w:rPr>
          <w:rFonts w:ascii="Tele-GroteskEENor" w:hAnsi="Tele-GroteskEENor"/>
        </w:rPr>
      </w:pPr>
    </w:p>
    <w:p w14:paraId="2A5E3E3C" w14:textId="77777777" w:rsidR="007339BB" w:rsidRDefault="007339BB" w:rsidP="007339BB">
      <w:pPr>
        <w:spacing w:line="0" w:lineRule="atLeast"/>
        <w:jc w:val="both"/>
      </w:pPr>
      <w:r>
        <w:t>Protiv ovog rješenja</w:t>
      </w:r>
      <w:r w:rsidRPr="00F2237F">
        <w:t xml:space="preserve"> žalba nije dopuštena, ali se može pokrenuti upravni spor pred Visokim upravnim sudom Republike Hrvatske u roku od 30 dana od dana primitka.</w:t>
      </w:r>
    </w:p>
    <w:p w14:paraId="65FF4154" w14:textId="6CA05A98" w:rsidR="00BD3718" w:rsidRDefault="00BD3718" w:rsidP="00BD3718">
      <w:pPr>
        <w:rPr>
          <w:rFonts w:ascii="Tele-GroteskEENor" w:hAnsi="Tele-GroteskEENor"/>
        </w:rPr>
      </w:pPr>
    </w:p>
    <w:p w14:paraId="5EC068B6" w14:textId="77777777" w:rsidR="00662713" w:rsidRPr="00BD3718" w:rsidRDefault="00662713" w:rsidP="00BD3718">
      <w:pPr>
        <w:rPr>
          <w:rFonts w:ascii="Tele-GroteskEENor" w:hAnsi="Tele-GroteskEENor"/>
        </w:rPr>
      </w:pPr>
    </w:p>
    <w:tbl>
      <w:tblPr>
        <w:tblW w:w="0" w:type="auto"/>
        <w:tblLook w:val="01E0" w:firstRow="1" w:lastRow="1" w:firstColumn="1" w:lastColumn="1" w:noHBand="0" w:noVBand="0"/>
      </w:tblPr>
      <w:tblGrid>
        <w:gridCol w:w="4801"/>
        <w:gridCol w:w="4837"/>
      </w:tblGrid>
      <w:tr w:rsidR="00BD3718" w:rsidRPr="00BD3718" w14:paraId="2CFB4D7F" w14:textId="77777777" w:rsidTr="00944BA8">
        <w:tc>
          <w:tcPr>
            <w:tcW w:w="4927" w:type="dxa"/>
          </w:tcPr>
          <w:p w14:paraId="0C7A15E6" w14:textId="77777777" w:rsidR="00BD3718" w:rsidRPr="00BD3718" w:rsidRDefault="00BD3718" w:rsidP="00BD3718"/>
          <w:p w14:paraId="42A6DEFD" w14:textId="77777777" w:rsidR="00BD3718" w:rsidRPr="00BD3718" w:rsidRDefault="00BD3718" w:rsidP="00BD3718"/>
        </w:tc>
        <w:tc>
          <w:tcPr>
            <w:tcW w:w="4927" w:type="dxa"/>
          </w:tcPr>
          <w:p w14:paraId="0A16B889" w14:textId="77777777" w:rsidR="00BD3718" w:rsidRDefault="00BD3718" w:rsidP="00BD3718">
            <w:pPr>
              <w:tabs>
                <w:tab w:val="center" w:pos="7655"/>
              </w:tabs>
              <w:spacing w:before="240"/>
              <w:jc w:val="center"/>
              <w:rPr>
                <w:b/>
                <w:i/>
                <w:caps/>
                <w:sz w:val="20"/>
              </w:rPr>
            </w:pPr>
            <w:r w:rsidRPr="00BD3718">
              <w:rPr>
                <w:b/>
                <w:i/>
                <w:caps/>
                <w:sz w:val="20"/>
              </w:rPr>
              <w:t>Predsjednik Vijeća</w:t>
            </w:r>
          </w:p>
          <w:p w14:paraId="16C55FDD" w14:textId="50D4ADA7" w:rsidR="002B0E78" w:rsidRPr="00BD3718" w:rsidRDefault="002B0E78" w:rsidP="00BD3718">
            <w:pPr>
              <w:tabs>
                <w:tab w:val="center" w:pos="7655"/>
              </w:tabs>
              <w:spacing w:before="240"/>
              <w:jc w:val="center"/>
              <w:rPr>
                <w:b/>
                <w:i/>
                <w:caps/>
                <w:sz w:val="20"/>
              </w:rPr>
            </w:pPr>
          </w:p>
        </w:tc>
      </w:tr>
      <w:tr w:rsidR="00BD3718" w:rsidRPr="00BD3718" w14:paraId="521CD7BD" w14:textId="77777777" w:rsidTr="00944BA8">
        <w:tc>
          <w:tcPr>
            <w:tcW w:w="4927" w:type="dxa"/>
          </w:tcPr>
          <w:p w14:paraId="3FD8BB0E" w14:textId="77777777" w:rsidR="00BD3718" w:rsidRPr="00BD3718" w:rsidRDefault="00BD3718" w:rsidP="00BD3718"/>
        </w:tc>
        <w:tc>
          <w:tcPr>
            <w:tcW w:w="4927" w:type="dxa"/>
          </w:tcPr>
          <w:p w14:paraId="788CF195" w14:textId="77777777" w:rsidR="00BD3718" w:rsidRPr="00BD3718" w:rsidRDefault="00BD3718" w:rsidP="00BD3718">
            <w:pPr>
              <w:tabs>
                <w:tab w:val="center" w:pos="7655"/>
              </w:tabs>
              <w:jc w:val="center"/>
              <w:rPr>
                <w:b/>
                <w:i/>
                <w:sz w:val="22"/>
              </w:rPr>
            </w:pPr>
            <w:r w:rsidRPr="00BD3718">
              <w:rPr>
                <w:b/>
                <w:i/>
                <w:sz w:val="22"/>
              </w:rPr>
              <w:t>Tonko Obuljen</w:t>
            </w:r>
          </w:p>
        </w:tc>
      </w:tr>
    </w:tbl>
    <w:p w14:paraId="378D5C2E" w14:textId="77777777" w:rsidR="00BD3718" w:rsidRPr="00BD3718" w:rsidRDefault="00BD3718" w:rsidP="00BD3718">
      <w:pPr>
        <w:rPr>
          <w:rFonts w:ascii="Tele-GroteskEENor" w:hAnsi="Tele-GroteskEENor"/>
        </w:rPr>
      </w:pPr>
    </w:p>
    <w:p w14:paraId="4516277A" w14:textId="77777777" w:rsidR="00BD3718" w:rsidRPr="00BD3718" w:rsidRDefault="00BD3718" w:rsidP="00BD3718">
      <w:pPr>
        <w:jc w:val="both"/>
        <w:rPr>
          <w:sz w:val="22"/>
          <w:szCs w:val="22"/>
        </w:rPr>
      </w:pPr>
    </w:p>
    <w:p w14:paraId="56108361" w14:textId="46093B00" w:rsidR="00662713" w:rsidRDefault="00662713" w:rsidP="00FA4509">
      <w:pPr>
        <w:jc w:val="both"/>
        <w:rPr>
          <w:sz w:val="22"/>
          <w:szCs w:val="22"/>
        </w:rPr>
      </w:pPr>
    </w:p>
    <w:p w14:paraId="2798AC81" w14:textId="200295AC" w:rsidR="00FA4509" w:rsidRPr="00E6739A" w:rsidRDefault="00FA4509" w:rsidP="00FA4509">
      <w:pPr>
        <w:jc w:val="both"/>
        <w:rPr>
          <w:sz w:val="22"/>
          <w:szCs w:val="22"/>
        </w:rPr>
      </w:pPr>
      <w:r w:rsidRPr="00E6739A">
        <w:rPr>
          <w:sz w:val="22"/>
          <w:szCs w:val="22"/>
        </w:rPr>
        <w:t>Privitak (</w:t>
      </w:r>
      <w:r>
        <w:rPr>
          <w:sz w:val="22"/>
          <w:szCs w:val="22"/>
        </w:rPr>
        <w:t>1</w:t>
      </w:r>
      <w:r w:rsidRPr="00E6739A">
        <w:rPr>
          <w:sz w:val="22"/>
          <w:szCs w:val="22"/>
        </w:rPr>
        <w:t>)</w:t>
      </w:r>
    </w:p>
    <w:p w14:paraId="271E97AC" w14:textId="77777777" w:rsidR="00FA4509" w:rsidRPr="00E6739A" w:rsidRDefault="00FA4509" w:rsidP="00FA4509">
      <w:pPr>
        <w:jc w:val="both"/>
        <w:rPr>
          <w:sz w:val="22"/>
          <w:szCs w:val="22"/>
        </w:rPr>
      </w:pPr>
    </w:p>
    <w:p w14:paraId="689ED411" w14:textId="11627125" w:rsidR="00001B9E" w:rsidRPr="00BD3718" w:rsidRDefault="00FA4509" w:rsidP="00FA4509">
      <w:pPr>
        <w:rPr>
          <w:sz w:val="20"/>
          <w:szCs w:val="20"/>
        </w:rPr>
      </w:pPr>
      <w:r w:rsidRPr="00E6739A">
        <w:rPr>
          <w:sz w:val="22"/>
          <w:szCs w:val="22"/>
        </w:rPr>
        <w:t xml:space="preserve">Privitak 1 – </w:t>
      </w:r>
      <w:r w:rsidR="003A3DB5" w:rsidRPr="003A3DB5">
        <w:rPr>
          <w:sz w:val="22"/>
          <w:szCs w:val="22"/>
        </w:rPr>
        <w:t>Popis geografskih jedinica na kojima nakon provedbe koncentracije nisu zadovoljeni kriteriji za utvrđivanje konkurentskih uvjeta</w:t>
      </w:r>
    </w:p>
    <w:p w14:paraId="0C787679" w14:textId="77777777" w:rsidR="00001B9E" w:rsidRDefault="00001B9E" w:rsidP="002A0B8A">
      <w:pPr>
        <w:rPr>
          <w:sz w:val="20"/>
          <w:szCs w:val="20"/>
        </w:rPr>
        <w:sectPr w:rsidR="00001B9E" w:rsidSect="001F6C72">
          <w:headerReference w:type="default" r:id="rId11"/>
          <w:footerReference w:type="default" r:id="rId12"/>
          <w:headerReference w:type="first" r:id="rId13"/>
          <w:footerReference w:type="first" r:id="rId14"/>
          <w:pgSz w:w="11906" w:h="16838" w:code="9"/>
          <w:pgMar w:top="1418" w:right="1134" w:bottom="1701" w:left="1134" w:header="340" w:footer="454" w:gutter="0"/>
          <w:cols w:space="708"/>
          <w:titlePg/>
          <w:docGrid w:linePitch="360"/>
        </w:sectPr>
      </w:pPr>
    </w:p>
    <w:p w14:paraId="0FADAFCC" w14:textId="77777777" w:rsidR="00001B9E" w:rsidRDefault="00001B9E" w:rsidP="002A0B8A">
      <w:pPr>
        <w:rPr>
          <w:sz w:val="20"/>
          <w:szCs w:val="20"/>
        </w:rPr>
      </w:pPr>
    </w:p>
    <w:tbl>
      <w:tblPr>
        <w:tblW w:w="5000" w:type="pct"/>
        <w:tblCellMar>
          <w:left w:w="0" w:type="dxa"/>
          <w:right w:w="0" w:type="dxa"/>
        </w:tblCellMar>
        <w:tblLook w:val="04A0" w:firstRow="1" w:lastRow="0" w:firstColumn="1" w:lastColumn="0" w:noHBand="0" w:noVBand="1"/>
      </w:tblPr>
      <w:tblGrid>
        <w:gridCol w:w="470"/>
        <w:gridCol w:w="1998"/>
        <w:gridCol w:w="1081"/>
        <w:gridCol w:w="1274"/>
        <w:gridCol w:w="1134"/>
        <w:gridCol w:w="1560"/>
        <w:gridCol w:w="1239"/>
        <w:gridCol w:w="882"/>
      </w:tblGrid>
      <w:tr w:rsidR="00001B9E" w:rsidRPr="00A63EDC" w14:paraId="2036EE38" w14:textId="77777777" w:rsidTr="00A63EDC">
        <w:trPr>
          <w:trHeight w:val="499"/>
        </w:trPr>
        <w:tc>
          <w:tcPr>
            <w:tcW w:w="5000" w:type="pct"/>
            <w:gridSpan w:val="8"/>
            <w:tcBorders>
              <w:top w:val="nil"/>
              <w:left w:val="nil"/>
              <w:bottom w:val="single" w:sz="4" w:space="0" w:color="auto"/>
              <w:right w:val="nil"/>
            </w:tcBorders>
            <w:noWrap/>
            <w:tcMar>
              <w:top w:w="15" w:type="dxa"/>
              <w:left w:w="15" w:type="dxa"/>
              <w:bottom w:w="0" w:type="dxa"/>
              <w:right w:w="15" w:type="dxa"/>
            </w:tcMar>
            <w:vAlign w:val="center"/>
            <w:hideMark/>
          </w:tcPr>
          <w:p w14:paraId="706D42C0" w14:textId="77777777" w:rsidR="003A3DB5" w:rsidRDefault="00001B9E" w:rsidP="003A3DB5">
            <w:pPr>
              <w:jc w:val="both"/>
              <w:rPr>
                <w:b/>
                <w:bCs/>
                <w:color w:val="000000"/>
              </w:rPr>
            </w:pPr>
            <w:r w:rsidRPr="003A3DB5">
              <w:rPr>
                <w:b/>
                <w:bCs/>
                <w:color w:val="000000"/>
              </w:rPr>
              <w:t xml:space="preserve">Privitak 1 – Popis geografskih jedinica </w:t>
            </w:r>
            <w:r w:rsidR="003A3DB5" w:rsidRPr="003A3DB5">
              <w:rPr>
                <w:b/>
                <w:bCs/>
                <w:color w:val="000000"/>
              </w:rPr>
              <w:t xml:space="preserve">na kojima nakon provedbe koncentracije nisu zadovoljeni kriteriji za utvrđivanje konkurentskih uvjeta </w:t>
            </w:r>
          </w:p>
          <w:p w14:paraId="60651080" w14:textId="19EB3C19" w:rsidR="003A3DB5" w:rsidRPr="003A3DB5" w:rsidRDefault="003A3DB5" w:rsidP="003A3DB5">
            <w:pPr>
              <w:rPr>
                <w:b/>
                <w:bCs/>
                <w:color w:val="000000"/>
              </w:rPr>
            </w:pPr>
          </w:p>
        </w:tc>
      </w:tr>
      <w:tr w:rsidR="003A3DB5" w:rsidRPr="00A63EDC" w14:paraId="43F007FC" w14:textId="77777777" w:rsidTr="00026F72">
        <w:trPr>
          <w:trHeight w:val="630"/>
        </w:trPr>
        <w:tc>
          <w:tcPr>
            <w:tcW w:w="241" w:type="pct"/>
            <w:tcBorders>
              <w:top w:val="nil"/>
              <w:left w:val="single" w:sz="4" w:space="0" w:color="auto"/>
              <w:bottom w:val="single" w:sz="4" w:space="0" w:color="auto"/>
              <w:right w:val="single" w:sz="4" w:space="0" w:color="auto"/>
            </w:tcBorders>
            <w:shd w:val="clear" w:color="000000" w:fill="DDEBF7"/>
            <w:tcMar>
              <w:top w:w="15" w:type="dxa"/>
              <w:left w:w="15" w:type="dxa"/>
              <w:bottom w:w="0" w:type="dxa"/>
              <w:right w:w="15" w:type="dxa"/>
            </w:tcMar>
            <w:vAlign w:val="center"/>
            <w:hideMark/>
          </w:tcPr>
          <w:p w14:paraId="765DAD83" w14:textId="77777777" w:rsidR="00001B9E" w:rsidRPr="00A63EDC" w:rsidRDefault="00001B9E">
            <w:pPr>
              <w:jc w:val="center"/>
              <w:rPr>
                <w:b/>
                <w:bCs/>
                <w:color w:val="000000"/>
                <w:sz w:val="20"/>
                <w:szCs w:val="20"/>
              </w:rPr>
            </w:pPr>
            <w:r w:rsidRPr="00A63EDC">
              <w:rPr>
                <w:b/>
                <w:bCs/>
                <w:color w:val="000000"/>
                <w:sz w:val="20"/>
                <w:szCs w:val="20"/>
              </w:rPr>
              <w:t>Red. Br</w:t>
            </w:r>
          </w:p>
        </w:tc>
        <w:tc>
          <w:tcPr>
            <w:tcW w:w="1040"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02D66C43" w14:textId="77777777" w:rsidR="00001B9E" w:rsidRPr="00A63EDC" w:rsidRDefault="00001B9E">
            <w:pPr>
              <w:jc w:val="center"/>
              <w:rPr>
                <w:b/>
                <w:bCs/>
                <w:color w:val="000000"/>
                <w:sz w:val="20"/>
                <w:szCs w:val="20"/>
              </w:rPr>
            </w:pPr>
            <w:r w:rsidRPr="00A63EDC">
              <w:rPr>
                <w:b/>
                <w:bCs/>
                <w:color w:val="000000"/>
                <w:sz w:val="20"/>
                <w:szCs w:val="20"/>
              </w:rPr>
              <w:t>Županija</w:t>
            </w:r>
          </w:p>
        </w:tc>
        <w:tc>
          <w:tcPr>
            <w:tcW w:w="560"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7703E894" w14:textId="77777777" w:rsidR="00001B9E" w:rsidRPr="00A63EDC" w:rsidRDefault="00001B9E">
            <w:pPr>
              <w:jc w:val="center"/>
              <w:rPr>
                <w:b/>
                <w:bCs/>
                <w:color w:val="000000"/>
                <w:sz w:val="20"/>
                <w:szCs w:val="20"/>
              </w:rPr>
            </w:pPr>
            <w:r w:rsidRPr="00A63EDC">
              <w:rPr>
                <w:b/>
                <w:bCs/>
                <w:color w:val="000000"/>
                <w:sz w:val="20"/>
                <w:szCs w:val="20"/>
              </w:rPr>
              <w:t>Tip jedinice</w:t>
            </w:r>
          </w:p>
        </w:tc>
        <w:tc>
          <w:tcPr>
            <w:tcW w:w="661"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6BFE7658" w14:textId="77777777" w:rsidR="00001B9E" w:rsidRPr="00A63EDC" w:rsidRDefault="00001B9E">
            <w:pPr>
              <w:jc w:val="center"/>
              <w:rPr>
                <w:b/>
                <w:bCs/>
                <w:color w:val="000000"/>
                <w:sz w:val="20"/>
                <w:szCs w:val="20"/>
              </w:rPr>
            </w:pPr>
            <w:r w:rsidRPr="00A63EDC">
              <w:rPr>
                <w:b/>
                <w:bCs/>
                <w:color w:val="000000"/>
                <w:sz w:val="20"/>
                <w:szCs w:val="20"/>
              </w:rPr>
              <w:t>Ime jedinice</w:t>
            </w:r>
          </w:p>
        </w:tc>
        <w:tc>
          <w:tcPr>
            <w:tcW w:w="588"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1C0EF333" w14:textId="77777777" w:rsidR="00001B9E" w:rsidRPr="00A63EDC" w:rsidRDefault="00001B9E">
            <w:pPr>
              <w:jc w:val="center"/>
              <w:rPr>
                <w:b/>
                <w:bCs/>
                <w:color w:val="000000"/>
                <w:sz w:val="20"/>
                <w:szCs w:val="20"/>
              </w:rPr>
            </w:pPr>
            <w:r w:rsidRPr="00A63EDC">
              <w:rPr>
                <w:b/>
                <w:bCs/>
                <w:color w:val="000000"/>
                <w:sz w:val="20"/>
                <w:szCs w:val="20"/>
              </w:rPr>
              <w:t>Broj korisničkih jedinica</w:t>
            </w:r>
          </w:p>
        </w:tc>
        <w:tc>
          <w:tcPr>
            <w:tcW w:w="811"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0494AE4B" w14:textId="77777777" w:rsidR="00001B9E" w:rsidRPr="00A63EDC" w:rsidRDefault="00001B9E">
            <w:pPr>
              <w:jc w:val="center"/>
              <w:rPr>
                <w:b/>
                <w:bCs/>
                <w:color w:val="000000"/>
                <w:sz w:val="20"/>
                <w:szCs w:val="20"/>
              </w:rPr>
            </w:pPr>
            <w:r w:rsidRPr="00A63EDC">
              <w:rPr>
                <w:b/>
                <w:bCs/>
                <w:color w:val="000000"/>
                <w:sz w:val="20"/>
                <w:szCs w:val="20"/>
              </w:rPr>
              <w:t>Pokrivenost VHCN infrastrukturom</w:t>
            </w:r>
          </w:p>
        </w:tc>
        <w:tc>
          <w:tcPr>
            <w:tcW w:w="643"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56EF20A7" w14:textId="464CCD10" w:rsidR="00001B9E" w:rsidRPr="00A63EDC" w:rsidRDefault="00026F72">
            <w:pPr>
              <w:jc w:val="center"/>
              <w:rPr>
                <w:b/>
                <w:bCs/>
                <w:color w:val="000000"/>
                <w:sz w:val="20"/>
                <w:szCs w:val="20"/>
              </w:rPr>
            </w:pPr>
            <w:r>
              <w:rPr>
                <w:b/>
                <w:bCs/>
                <w:color w:val="000000"/>
                <w:sz w:val="20"/>
                <w:szCs w:val="20"/>
              </w:rPr>
              <w:t xml:space="preserve">Udio </w:t>
            </w:r>
            <w:r w:rsidR="00001B9E" w:rsidRPr="00A63EDC">
              <w:rPr>
                <w:b/>
                <w:bCs/>
                <w:color w:val="000000"/>
                <w:sz w:val="20"/>
                <w:szCs w:val="20"/>
              </w:rPr>
              <w:t>HT +Pro Ping</w:t>
            </w:r>
          </w:p>
        </w:tc>
        <w:tc>
          <w:tcPr>
            <w:tcW w:w="455" w:type="pct"/>
            <w:tcBorders>
              <w:top w:val="nil"/>
              <w:left w:val="nil"/>
              <w:bottom w:val="single" w:sz="4" w:space="0" w:color="auto"/>
              <w:right w:val="single" w:sz="4" w:space="0" w:color="auto"/>
            </w:tcBorders>
            <w:shd w:val="clear" w:color="000000" w:fill="DDEBF7"/>
            <w:tcMar>
              <w:top w:w="15" w:type="dxa"/>
              <w:left w:w="15" w:type="dxa"/>
              <w:bottom w:w="0" w:type="dxa"/>
              <w:right w:w="15" w:type="dxa"/>
            </w:tcMar>
            <w:vAlign w:val="center"/>
            <w:hideMark/>
          </w:tcPr>
          <w:p w14:paraId="2EC4835B" w14:textId="77777777" w:rsidR="00001B9E" w:rsidRPr="00A63EDC" w:rsidRDefault="00001B9E">
            <w:pPr>
              <w:jc w:val="center"/>
              <w:rPr>
                <w:b/>
                <w:bCs/>
                <w:color w:val="000000"/>
                <w:sz w:val="20"/>
                <w:szCs w:val="20"/>
              </w:rPr>
            </w:pPr>
            <w:r w:rsidRPr="00A63EDC">
              <w:rPr>
                <w:b/>
                <w:bCs/>
                <w:color w:val="000000"/>
                <w:sz w:val="20"/>
                <w:szCs w:val="20"/>
              </w:rPr>
              <w:t>Broj operatora</w:t>
            </w:r>
          </w:p>
        </w:tc>
      </w:tr>
      <w:tr w:rsidR="00026F72" w:rsidRPr="00A63EDC" w14:paraId="1E069C65"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6A6F24C9" w14:textId="77777777" w:rsidR="00026F72" w:rsidRPr="00A63EDC" w:rsidRDefault="00026F72" w:rsidP="00026F72">
            <w:pPr>
              <w:jc w:val="center"/>
              <w:rPr>
                <w:color w:val="000000"/>
                <w:sz w:val="20"/>
                <w:szCs w:val="20"/>
              </w:rPr>
            </w:pPr>
            <w:r w:rsidRPr="00A63EDC">
              <w:rPr>
                <w:color w:val="000000"/>
                <w:sz w:val="20"/>
                <w:szCs w:val="20"/>
              </w:rPr>
              <w:t>1</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44E335D8"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B957EDA"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113053CE" w14:textId="77777777" w:rsidR="00026F72" w:rsidRPr="00A63EDC" w:rsidRDefault="00026F72" w:rsidP="00026F72">
            <w:pPr>
              <w:jc w:val="center"/>
              <w:rPr>
                <w:color w:val="000000"/>
                <w:sz w:val="20"/>
                <w:szCs w:val="20"/>
              </w:rPr>
            </w:pPr>
            <w:r w:rsidRPr="00A63EDC">
              <w:rPr>
                <w:color w:val="000000"/>
                <w:sz w:val="20"/>
                <w:szCs w:val="20"/>
              </w:rPr>
              <w:t>Drnje</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60BBAD0" w14:textId="77777777" w:rsidR="00026F72" w:rsidRPr="00A63EDC" w:rsidRDefault="00026F72" w:rsidP="00026F72">
            <w:pPr>
              <w:jc w:val="center"/>
              <w:rPr>
                <w:color w:val="000000"/>
                <w:sz w:val="20"/>
                <w:szCs w:val="20"/>
              </w:rPr>
            </w:pPr>
            <w:r w:rsidRPr="00A63EDC">
              <w:rPr>
                <w:color w:val="000000"/>
                <w:sz w:val="20"/>
                <w:szCs w:val="20"/>
              </w:rPr>
              <w:t>988</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B0A8127" w14:textId="77777777" w:rsidR="00026F72" w:rsidRPr="00A63EDC" w:rsidRDefault="00026F72" w:rsidP="00026F72">
            <w:pPr>
              <w:jc w:val="center"/>
              <w:rPr>
                <w:color w:val="000000"/>
                <w:sz w:val="20"/>
                <w:szCs w:val="20"/>
              </w:rPr>
            </w:pPr>
            <w:r w:rsidRPr="00A63EDC">
              <w:rPr>
                <w:color w:val="000000"/>
                <w:sz w:val="20"/>
                <w:szCs w:val="20"/>
              </w:rPr>
              <w:t>92.21%</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2D096280" w14:textId="5D45FC0C"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C149E37" w14:textId="77777777" w:rsidR="00026F72" w:rsidRPr="00A63EDC" w:rsidRDefault="00026F72" w:rsidP="00026F72">
            <w:pPr>
              <w:jc w:val="center"/>
              <w:rPr>
                <w:color w:val="000000"/>
                <w:sz w:val="20"/>
                <w:szCs w:val="20"/>
              </w:rPr>
            </w:pPr>
            <w:r w:rsidRPr="00A63EDC">
              <w:rPr>
                <w:color w:val="000000"/>
                <w:sz w:val="20"/>
                <w:szCs w:val="20"/>
              </w:rPr>
              <w:t>2</w:t>
            </w:r>
          </w:p>
        </w:tc>
      </w:tr>
      <w:tr w:rsidR="00026F72" w:rsidRPr="00A63EDC" w14:paraId="234D593F"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EAA7E31" w14:textId="77777777" w:rsidR="00026F72" w:rsidRPr="00A63EDC" w:rsidRDefault="00026F72" w:rsidP="00026F72">
            <w:pPr>
              <w:jc w:val="center"/>
              <w:rPr>
                <w:color w:val="000000"/>
                <w:sz w:val="20"/>
                <w:szCs w:val="20"/>
              </w:rPr>
            </w:pPr>
            <w:r w:rsidRPr="00A63EDC">
              <w:rPr>
                <w:color w:val="000000"/>
                <w:sz w:val="20"/>
                <w:szCs w:val="20"/>
              </w:rPr>
              <w:t>2</w:t>
            </w:r>
          </w:p>
        </w:tc>
        <w:tc>
          <w:tcPr>
            <w:tcW w:w="104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6DB82425"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4C4F9381"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23DAA3A4" w14:textId="77777777" w:rsidR="00026F72" w:rsidRPr="00A63EDC" w:rsidRDefault="00026F72" w:rsidP="00026F72">
            <w:pPr>
              <w:jc w:val="center"/>
              <w:rPr>
                <w:color w:val="000000"/>
                <w:sz w:val="20"/>
                <w:szCs w:val="20"/>
              </w:rPr>
            </w:pPr>
            <w:r w:rsidRPr="00A63EDC">
              <w:rPr>
                <w:color w:val="000000"/>
                <w:sz w:val="20"/>
                <w:szCs w:val="20"/>
              </w:rPr>
              <w:t>Đurđevac</w:t>
            </w:r>
          </w:p>
        </w:tc>
        <w:tc>
          <w:tcPr>
            <w:tcW w:w="588"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15C49403" w14:textId="77777777" w:rsidR="00026F72" w:rsidRPr="00A63EDC" w:rsidRDefault="00026F72" w:rsidP="00026F72">
            <w:pPr>
              <w:jc w:val="center"/>
              <w:rPr>
                <w:color w:val="000000"/>
                <w:sz w:val="20"/>
                <w:szCs w:val="20"/>
              </w:rPr>
            </w:pPr>
            <w:r w:rsidRPr="00A63EDC">
              <w:rPr>
                <w:color w:val="000000"/>
                <w:sz w:val="20"/>
                <w:szCs w:val="20"/>
              </w:rPr>
              <w:t>6,627</w:t>
            </w:r>
          </w:p>
        </w:tc>
        <w:tc>
          <w:tcPr>
            <w:tcW w:w="811"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316EEADE" w14:textId="77777777" w:rsidR="00026F72" w:rsidRPr="00A63EDC" w:rsidRDefault="00026F72" w:rsidP="00026F72">
            <w:pPr>
              <w:jc w:val="center"/>
              <w:rPr>
                <w:color w:val="000000"/>
                <w:sz w:val="20"/>
                <w:szCs w:val="20"/>
              </w:rPr>
            </w:pPr>
            <w:r w:rsidRPr="00A63EDC">
              <w:rPr>
                <w:color w:val="000000"/>
                <w:sz w:val="20"/>
                <w:szCs w:val="20"/>
              </w:rPr>
              <w:t>40.61%</w:t>
            </w:r>
          </w:p>
        </w:tc>
        <w:tc>
          <w:tcPr>
            <w:tcW w:w="643" w:type="pct"/>
            <w:tcBorders>
              <w:top w:val="nil"/>
              <w:left w:val="nil"/>
              <w:bottom w:val="single" w:sz="4" w:space="0" w:color="auto"/>
              <w:right w:val="single" w:sz="4" w:space="0" w:color="auto"/>
            </w:tcBorders>
            <w:noWrap/>
            <w:tcMar>
              <w:top w:w="15" w:type="dxa"/>
              <w:left w:w="15" w:type="dxa"/>
              <w:bottom w:w="0" w:type="dxa"/>
              <w:right w:w="15" w:type="dxa"/>
            </w:tcMar>
            <w:hideMark/>
          </w:tcPr>
          <w:p w14:paraId="07350DD6" w14:textId="08B30D10"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19606D49" w14:textId="77777777" w:rsidR="00026F72" w:rsidRPr="00A63EDC" w:rsidRDefault="00026F72" w:rsidP="00026F72">
            <w:pPr>
              <w:jc w:val="center"/>
              <w:rPr>
                <w:color w:val="000000"/>
                <w:sz w:val="20"/>
                <w:szCs w:val="20"/>
              </w:rPr>
            </w:pPr>
            <w:r w:rsidRPr="00A63EDC">
              <w:rPr>
                <w:color w:val="000000"/>
                <w:sz w:val="20"/>
                <w:szCs w:val="20"/>
              </w:rPr>
              <w:t>3</w:t>
            </w:r>
          </w:p>
        </w:tc>
      </w:tr>
      <w:tr w:rsidR="00026F72" w:rsidRPr="00A63EDC" w14:paraId="09FB9E91" w14:textId="77777777" w:rsidTr="00026F72">
        <w:trPr>
          <w:trHeight w:val="462"/>
        </w:trPr>
        <w:tc>
          <w:tcPr>
            <w:tcW w:w="241" w:type="pct"/>
            <w:tcBorders>
              <w:top w:val="nil"/>
              <w:left w:val="single" w:sz="4" w:space="0" w:color="auto"/>
              <w:bottom w:val="nil"/>
              <w:right w:val="single" w:sz="4" w:space="0" w:color="auto"/>
            </w:tcBorders>
            <w:shd w:val="clear" w:color="000000" w:fill="FFFFFF"/>
            <w:noWrap/>
            <w:tcMar>
              <w:top w:w="15" w:type="dxa"/>
              <w:left w:w="15" w:type="dxa"/>
              <w:bottom w:w="0" w:type="dxa"/>
              <w:right w:w="15" w:type="dxa"/>
            </w:tcMar>
            <w:vAlign w:val="center"/>
            <w:hideMark/>
          </w:tcPr>
          <w:p w14:paraId="6965838D" w14:textId="77777777" w:rsidR="00026F72" w:rsidRPr="00A63EDC" w:rsidRDefault="00026F72" w:rsidP="00026F72">
            <w:pPr>
              <w:jc w:val="center"/>
              <w:rPr>
                <w:color w:val="000000"/>
                <w:sz w:val="20"/>
                <w:szCs w:val="20"/>
              </w:rPr>
            </w:pPr>
            <w:r w:rsidRPr="00A63EDC">
              <w:rPr>
                <w:color w:val="000000"/>
                <w:sz w:val="20"/>
                <w:szCs w:val="20"/>
              </w:rPr>
              <w:t>3</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674A4DE"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3E5C105"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02ADE11" w14:textId="77777777" w:rsidR="00026F72" w:rsidRPr="00A63EDC" w:rsidRDefault="00026F72" w:rsidP="00026F72">
            <w:pPr>
              <w:jc w:val="center"/>
              <w:rPr>
                <w:color w:val="000000"/>
                <w:sz w:val="20"/>
                <w:szCs w:val="20"/>
              </w:rPr>
            </w:pPr>
            <w:r w:rsidRPr="00A63EDC">
              <w:rPr>
                <w:color w:val="000000"/>
                <w:sz w:val="20"/>
                <w:szCs w:val="20"/>
              </w:rPr>
              <w:t>Kalinovac</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179618C1" w14:textId="77777777" w:rsidR="00026F72" w:rsidRPr="00A63EDC" w:rsidRDefault="00026F72" w:rsidP="00026F72">
            <w:pPr>
              <w:jc w:val="center"/>
              <w:rPr>
                <w:color w:val="000000"/>
                <w:sz w:val="20"/>
                <w:szCs w:val="20"/>
              </w:rPr>
            </w:pPr>
            <w:r w:rsidRPr="00A63EDC">
              <w:rPr>
                <w:color w:val="000000"/>
                <w:sz w:val="20"/>
                <w:szCs w:val="20"/>
              </w:rPr>
              <w:t>941</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4407123" w14:textId="77777777" w:rsidR="00026F72" w:rsidRPr="00A63EDC" w:rsidRDefault="00026F72" w:rsidP="00026F72">
            <w:pPr>
              <w:jc w:val="center"/>
              <w:rPr>
                <w:color w:val="000000"/>
                <w:sz w:val="20"/>
                <w:szCs w:val="20"/>
              </w:rPr>
            </w:pPr>
            <w:r w:rsidRPr="00A63EDC">
              <w:rPr>
                <w:color w:val="000000"/>
                <w:sz w:val="20"/>
                <w:szCs w:val="20"/>
              </w:rPr>
              <w:t>77.36%</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6741416D" w14:textId="65FC6C9B"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4D77DA39" w14:textId="77777777" w:rsidR="00026F72" w:rsidRPr="00A63EDC" w:rsidRDefault="00026F72" w:rsidP="00026F72">
            <w:pPr>
              <w:jc w:val="center"/>
              <w:rPr>
                <w:color w:val="000000"/>
                <w:sz w:val="20"/>
                <w:szCs w:val="20"/>
              </w:rPr>
            </w:pPr>
            <w:r w:rsidRPr="00A63EDC">
              <w:rPr>
                <w:color w:val="000000"/>
                <w:sz w:val="20"/>
                <w:szCs w:val="20"/>
              </w:rPr>
              <w:t>1</w:t>
            </w:r>
          </w:p>
        </w:tc>
      </w:tr>
      <w:tr w:rsidR="00026F72" w:rsidRPr="00A63EDC" w14:paraId="6ACF27FF" w14:textId="77777777" w:rsidTr="00026F72">
        <w:trPr>
          <w:trHeight w:val="462"/>
        </w:trPr>
        <w:tc>
          <w:tcPr>
            <w:tcW w:w="241" w:type="pct"/>
            <w:tcBorders>
              <w:top w:val="single" w:sz="4" w:space="0" w:color="auto"/>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14FEDCB2" w14:textId="77777777" w:rsidR="00026F72" w:rsidRPr="00A63EDC" w:rsidRDefault="00026F72" w:rsidP="00026F72">
            <w:pPr>
              <w:jc w:val="center"/>
              <w:rPr>
                <w:color w:val="000000"/>
                <w:sz w:val="20"/>
                <w:szCs w:val="20"/>
              </w:rPr>
            </w:pPr>
            <w:r w:rsidRPr="00A63EDC">
              <w:rPr>
                <w:color w:val="000000"/>
                <w:sz w:val="20"/>
                <w:szCs w:val="20"/>
              </w:rPr>
              <w:t>4</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10655F1A"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1BFE1208"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D068F79" w14:textId="77777777" w:rsidR="00026F72" w:rsidRPr="00A63EDC" w:rsidRDefault="00026F72" w:rsidP="00026F72">
            <w:pPr>
              <w:jc w:val="center"/>
              <w:rPr>
                <w:color w:val="000000"/>
                <w:sz w:val="20"/>
                <w:szCs w:val="20"/>
              </w:rPr>
            </w:pPr>
            <w:r w:rsidRPr="00A63EDC">
              <w:rPr>
                <w:color w:val="000000"/>
                <w:sz w:val="20"/>
                <w:szCs w:val="20"/>
              </w:rPr>
              <w:t>Koprivnica</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FBB1B9A" w14:textId="77777777" w:rsidR="00026F72" w:rsidRPr="00A63EDC" w:rsidRDefault="00026F72" w:rsidP="00026F72">
            <w:pPr>
              <w:jc w:val="center"/>
              <w:rPr>
                <w:color w:val="000000"/>
                <w:sz w:val="20"/>
                <w:szCs w:val="20"/>
              </w:rPr>
            </w:pPr>
            <w:r w:rsidRPr="00A63EDC">
              <w:rPr>
                <w:color w:val="000000"/>
                <w:sz w:val="20"/>
                <w:szCs w:val="20"/>
              </w:rPr>
              <w:t>20,985</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481ECC85" w14:textId="77777777" w:rsidR="00026F72" w:rsidRPr="00A63EDC" w:rsidRDefault="00026F72" w:rsidP="00026F72">
            <w:pPr>
              <w:jc w:val="center"/>
              <w:rPr>
                <w:color w:val="000000"/>
                <w:sz w:val="20"/>
                <w:szCs w:val="20"/>
              </w:rPr>
            </w:pPr>
            <w:r w:rsidRPr="00A63EDC">
              <w:rPr>
                <w:color w:val="000000"/>
                <w:sz w:val="20"/>
                <w:szCs w:val="20"/>
              </w:rPr>
              <w:t>77.60%</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6098E19B" w14:textId="5557905F"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6413E899" w14:textId="77777777" w:rsidR="00026F72" w:rsidRPr="00A63EDC" w:rsidRDefault="00026F72" w:rsidP="00026F72">
            <w:pPr>
              <w:jc w:val="center"/>
              <w:rPr>
                <w:color w:val="000000"/>
                <w:sz w:val="20"/>
                <w:szCs w:val="20"/>
              </w:rPr>
            </w:pPr>
            <w:r w:rsidRPr="00A63EDC">
              <w:rPr>
                <w:color w:val="000000"/>
                <w:sz w:val="20"/>
                <w:szCs w:val="20"/>
              </w:rPr>
              <w:t>3</w:t>
            </w:r>
          </w:p>
        </w:tc>
      </w:tr>
      <w:tr w:rsidR="00026F72" w:rsidRPr="00A63EDC" w14:paraId="13D541E6"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83E497D" w14:textId="77777777" w:rsidR="00026F72" w:rsidRPr="00A63EDC" w:rsidRDefault="00026F72" w:rsidP="00026F72">
            <w:pPr>
              <w:jc w:val="center"/>
              <w:rPr>
                <w:color w:val="000000"/>
                <w:sz w:val="20"/>
                <w:szCs w:val="20"/>
              </w:rPr>
            </w:pPr>
            <w:r w:rsidRPr="00A63EDC">
              <w:rPr>
                <w:color w:val="000000"/>
                <w:sz w:val="20"/>
                <w:szCs w:val="20"/>
              </w:rPr>
              <w:t>5</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89610F4"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30156AF6"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40B51ED5" w14:textId="77777777" w:rsidR="00026F72" w:rsidRPr="00A63EDC" w:rsidRDefault="00026F72" w:rsidP="00026F72">
            <w:pPr>
              <w:jc w:val="center"/>
              <w:rPr>
                <w:color w:val="000000"/>
                <w:sz w:val="20"/>
                <w:szCs w:val="20"/>
              </w:rPr>
            </w:pPr>
            <w:r w:rsidRPr="00A63EDC">
              <w:rPr>
                <w:color w:val="000000"/>
                <w:sz w:val="20"/>
                <w:szCs w:val="20"/>
              </w:rPr>
              <w:t>Kloštar Podravski</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F6CA572" w14:textId="77777777" w:rsidR="00026F72" w:rsidRPr="00A63EDC" w:rsidRDefault="00026F72" w:rsidP="00026F72">
            <w:pPr>
              <w:jc w:val="center"/>
              <w:rPr>
                <w:color w:val="000000"/>
                <w:sz w:val="20"/>
                <w:szCs w:val="20"/>
              </w:rPr>
            </w:pPr>
            <w:r w:rsidRPr="00A63EDC">
              <w:rPr>
                <w:color w:val="000000"/>
                <w:sz w:val="20"/>
                <w:szCs w:val="20"/>
              </w:rPr>
              <w:t>2,362</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613FEFA" w14:textId="77777777" w:rsidR="00026F72" w:rsidRPr="00A63EDC" w:rsidRDefault="00026F72" w:rsidP="00026F72">
            <w:pPr>
              <w:jc w:val="center"/>
              <w:rPr>
                <w:color w:val="000000"/>
                <w:sz w:val="20"/>
                <w:szCs w:val="20"/>
              </w:rPr>
            </w:pPr>
            <w:r w:rsidRPr="00A63EDC">
              <w:rPr>
                <w:color w:val="000000"/>
                <w:sz w:val="20"/>
                <w:szCs w:val="20"/>
              </w:rPr>
              <w:t>42.08%</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48297A56" w14:textId="12A10136"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A4713F3" w14:textId="77777777" w:rsidR="00026F72" w:rsidRPr="00A63EDC" w:rsidRDefault="00026F72" w:rsidP="00026F72">
            <w:pPr>
              <w:jc w:val="center"/>
              <w:rPr>
                <w:color w:val="000000"/>
                <w:sz w:val="20"/>
                <w:szCs w:val="20"/>
              </w:rPr>
            </w:pPr>
            <w:r w:rsidRPr="00A63EDC">
              <w:rPr>
                <w:color w:val="000000"/>
                <w:sz w:val="20"/>
                <w:szCs w:val="20"/>
              </w:rPr>
              <w:t>2</w:t>
            </w:r>
          </w:p>
        </w:tc>
      </w:tr>
      <w:tr w:rsidR="00026F72" w:rsidRPr="00A63EDC" w14:paraId="3987C2DE" w14:textId="77777777" w:rsidTr="00026F72">
        <w:trPr>
          <w:trHeight w:val="462"/>
        </w:trPr>
        <w:tc>
          <w:tcPr>
            <w:tcW w:w="241" w:type="pct"/>
            <w:tcBorders>
              <w:top w:val="nil"/>
              <w:left w:val="single" w:sz="4" w:space="0" w:color="auto"/>
              <w:bottom w:val="nil"/>
              <w:right w:val="single" w:sz="4" w:space="0" w:color="auto"/>
            </w:tcBorders>
            <w:shd w:val="clear" w:color="000000" w:fill="FFFFFF"/>
            <w:noWrap/>
            <w:tcMar>
              <w:top w:w="15" w:type="dxa"/>
              <w:left w:w="15" w:type="dxa"/>
              <w:bottom w:w="0" w:type="dxa"/>
              <w:right w:w="15" w:type="dxa"/>
            </w:tcMar>
            <w:vAlign w:val="center"/>
            <w:hideMark/>
          </w:tcPr>
          <w:p w14:paraId="774DC854" w14:textId="77777777" w:rsidR="00026F72" w:rsidRPr="00A63EDC" w:rsidRDefault="00026F72" w:rsidP="00026F72">
            <w:pPr>
              <w:jc w:val="center"/>
              <w:rPr>
                <w:color w:val="000000"/>
                <w:sz w:val="20"/>
                <w:szCs w:val="20"/>
              </w:rPr>
            </w:pPr>
            <w:r w:rsidRPr="00A63EDC">
              <w:rPr>
                <w:color w:val="000000"/>
                <w:sz w:val="20"/>
                <w:szCs w:val="20"/>
              </w:rPr>
              <w:t>6</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E0B2C0F"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0DA62ADF"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3AC76462" w14:textId="77777777" w:rsidR="00026F72" w:rsidRPr="00A63EDC" w:rsidRDefault="00026F72" w:rsidP="00026F72">
            <w:pPr>
              <w:jc w:val="center"/>
              <w:rPr>
                <w:color w:val="000000"/>
                <w:sz w:val="20"/>
                <w:szCs w:val="20"/>
              </w:rPr>
            </w:pPr>
            <w:r w:rsidRPr="00A63EDC">
              <w:rPr>
                <w:color w:val="000000"/>
                <w:sz w:val="20"/>
                <w:szCs w:val="20"/>
              </w:rPr>
              <w:t>Koprivnički Bregi</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E62E65C" w14:textId="77777777" w:rsidR="00026F72" w:rsidRPr="00A63EDC" w:rsidRDefault="00026F72" w:rsidP="00026F72">
            <w:pPr>
              <w:jc w:val="center"/>
              <w:rPr>
                <w:color w:val="000000"/>
                <w:sz w:val="20"/>
                <w:szCs w:val="20"/>
              </w:rPr>
            </w:pPr>
            <w:r w:rsidRPr="00A63EDC">
              <w:rPr>
                <w:color w:val="000000"/>
                <w:sz w:val="20"/>
                <w:szCs w:val="20"/>
              </w:rPr>
              <w:t>1,665</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32C1A56" w14:textId="77777777" w:rsidR="00026F72" w:rsidRPr="00A63EDC" w:rsidRDefault="00026F72" w:rsidP="00026F72">
            <w:pPr>
              <w:jc w:val="center"/>
              <w:rPr>
                <w:color w:val="000000"/>
                <w:sz w:val="20"/>
                <w:szCs w:val="20"/>
              </w:rPr>
            </w:pPr>
            <w:r w:rsidRPr="00A63EDC">
              <w:rPr>
                <w:color w:val="000000"/>
                <w:sz w:val="20"/>
                <w:szCs w:val="20"/>
              </w:rPr>
              <w:t>43.90%</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4DFB1096" w14:textId="475F55F0"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3B81EF1" w14:textId="77777777" w:rsidR="00026F72" w:rsidRPr="00A63EDC" w:rsidRDefault="00026F72" w:rsidP="00026F72">
            <w:pPr>
              <w:jc w:val="center"/>
              <w:rPr>
                <w:color w:val="000000"/>
                <w:sz w:val="20"/>
                <w:szCs w:val="20"/>
              </w:rPr>
            </w:pPr>
            <w:r w:rsidRPr="00A63EDC">
              <w:rPr>
                <w:color w:val="000000"/>
                <w:sz w:val="20"/>
                <w:szCs w:val="20"/>
              </w:rPr>
              <w:t>1</w:t>
            </w:r>
          </w:p>
        </w:tc>
      </w:tr>
      <w:tr w:rsidR="00026F72" w:rsidRPr="00A63EDC" w14:paraId="3E109419" w14:textId="77777777" w:rsidTr="00026F72">
        <w:trPr>
          <w:trHeight w:val="462"/>
        </w:trPr>
        <w:tc>
          <w:tcPr>
            <w:tcW w:w="241" w:type="pct"/>
            <w:tcBorders>
              <w:top w:val="single" w:sz="4" w:space="0" w:color="auto"/>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84B84C8" w14:textId="77777777" w:rsidR="00026F72" w:rsidRPr="00A63EDC" w:rsidRDefault="00026F72" w:rsidP="00026F72">
            <w:pPr>
              <w:jc w:val="center"/>
              <w:rPr>
                <w:color w:val="000000"/>
                <w:sz w:val="20"/>
                <w:szCs w:val="20"/>
              </w:rPr>
            </w:pPr>
            <w:r w:rsidRPr="00A63EDC">
              <w:rPr>
                <w:color w:val="000000"/>
                <w:sz w:val="20"/>
                <w:szCs w:val="20"/>
              </w:rPr>
              <w:t>7</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431C718"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34AFC6C6"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66978DD" w14:textId="77777777" w:rsidR="00026F72" w:rsidRPr="00A63EDC" w:rsidRDefault="00026F72" w:rsidP="00026F72">
            <w:pPr>
              <w:jc w:val="center"/>
              <w:rPr>
                <w:color w:val="000000"/>
                <w:sz w:val="20"/>
                <w:szCs w:val="20"/>
              </w:rPr>
            </w:pPr>
            <w:r w:rsidRPr="00A63EDC">
              <w:rPr>
                <w:color w:val="000000"/>
                <w:sz w:val="20"/>
                <w:szCs w:val="20"/>
              </w:rPr>
              <w:t>Koprivnički Ivanec</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74E9572" w14:textId="77777777" w:rsidR="00026F72" w:rsidRPr="00A63EDC" w:rsidRDefault="00026F72" w:rsidP="00026F72">
            <w:pPr>
              <w:jc w:val="center"/>
              <w:rPr>
                <w:color w:val="000000"/>
                <w:sz w:val="20"/>
                <w:szCs w:val="20"/>
              </w:rPr>
            </w:pPr>
            <w:r w:rsidRPr="00A63EDC">
              <w:rPr>
                <w:color w:val="000000"/>
                <w:sz w:val="20"/>
                <w:szCs w:val="20"/>
              </w:rPr>
              <w:t>1,179</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0CC8041E" w14:textId="77777777" w:rsidR="00026F72" w:rsidRPr="00A63EDC" w:rsidRDefault="00026F72" w:rsidP="00026F72">
            <w:pPr>
              <w:jc w:val="center"/>
              <w:rPr>
                <w:color w:val="000000"/>
                <w:sz w:val="20"/>
                <w:szCs w:val="20"/>
              </w:rPr>
            </w:pPr>
            <w:r w:rsidRPr="00A63EDC">
              <w:rPr>
                <w:color w:val="000000"/>
                <w:sz w:val="20"/>
                <w:szCs w:val="20"/>
              </w:rPr>
              <w:t>54.96%</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7052B43C" w14:textId="1375B0AE"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FD94A9F" w14:textId="77777777" w:rsidR="00026F72" w:rsidRPr="00A63EDC" w:rsidRDefault="00026F72" w:rsidP="00026F72">
            <w:pPr>
              <w:jc w:val="center"/>
              <w:rPr>
                <w:color w:val="000000"/>
                <w:sz w:val="20"/>
                <w:szCs w:val="20"/>
              </w:rPr>
            </w:pPr>
            <w:r w:rsidRPr="00A63EDC">
              <w:rPr>
                <w:color w:val="000000"/>
                <w:sz w:val="20"/>
                <w:szCs w:val="20"/>
              </w:rPr>
              <w:t>2</w:t>
            </w:r>
          </w:p>
        </w:tc>
      </w:tr>
      <w:tr w:rsidR="00026F72" w:rsidRPr="00A63EDC" w14:paraId="6219CF65"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1D0E50DC" w14:textId="77777777" w:rsidR="00026F72" w:rsidRPr="00A63EDC" w:rsidRDefault="00026F72" w:rsidP="00026F72">
            <w:pPr>
              <w:jc w:val="center"/>
              <w:rPr>
                <w:color w:val="000000"/>
                <w:sz w:val="20"/>
                <w:szCs w:val="20"/>
              </w:rPr>
            </w:pPr>
            <w:r w:rsidRPr="00A63EDC">
              <w:rPr>
                <w:color w:val="000000"/>
                <w:sz w:val="20"/>
                <w:szCs w:val="20"/>
              </w:rPr>
              <w:t>8</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4940D03A"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68125C6"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3392FB91" w14:textId="77777777" w:rsidR="00026F72" w:rsidRPr="00A63EDC" w:rsidRDefault="00026F72" w:rsidP="00026F72">
            <w:pPr>
              <w:jc w:val="center"/>
              <w:rPr>
                <w:color w:val="000000"/>
                <w:sz w:val="20"/>
                <w:szCs w:val="20"/>
              </w:rPr>
            </w:pPr>
            <w:r w:rsidRPr="00A63EDC">
              <w:rPr>
                <w:color w:val="000000"/>
                <w:sz w:val="20"/>
                <w:szCs w:val="20"/>
              </w:rPr>
              <w:t>Virje</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8C9ACF7" w14:textId="77777777" w:rsidR="00026F72" w:rsidRPr="00A63EDC" w:rsidRDefault="00026F72" w:rsidP="00026F72">
            <w:pPr>
              <w:jc w:val="center"/>
              <w:rPr>
                <w:color w:val="000000"/>
                <w:sz w:val="20"/>
                <w:szCs w:val="20"/>
              </w:rPr>
            </w:pPr>
            <w:r w:rsidRPr="00A63EDC">
              <w:rPr>
                <w:color w:val="000000"/>
                <w:sz w:val="20"/>
                <w:szCs w:val="20"/>
              </w:rPr>
              <w:t>5,085</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BFD378D" w14:textId="77777777" w:rsidR="00026F72" w:rsidRPr="00A63EDC" w:rsidRDefault="00026F72" w:rsidP="00026F72">
            <w:pPr>
              <w:jc w:val="center"/>
              <w:rPr>
                <w:color w:val="000000"/>
                <w:sz w:val="20"/>
                <w:szCs w:val="20"/>
              </w:rPr>
            </w:pPr>
            <w:r w:rsidRPr="00A63EDC">
              <w:rPr>
                <w:color w:val="000000"/>
                <w:sz w:val="20"/>
                <w:szCs w:val="20"/>
              </w:rPr>
              <w:t>60.18%</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1C49026D" w14:textId="367C32A4"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7EEE025" w14:textId="77777777" w:rsidR="00026F72" w:rsidRPr="00A63EDC" w:rsidRDefault="00026F72" w:rsidP="00026F72">
            <w:pPr>
              <w:jc w:val="center"/>
              <w:rPr>
                <w:color w:val="000000"/>
                <w:sz w:val="20"/>
                <w:szCs w:val="20"/>
              </w:rPr>
            </w:pPr>
            <w:r w:rsidRPr="00A63EDC">
              <w:rPr>
                <w:color w:val="000000"/>
                <w:sz w:val="20"/>
                <w:szCs w:val="20"/>
              </w:rPr>
              <w:t>1</w:t>
            </w:r>
          </w:p>
        </w:tc>
      </w:tr>
      <w:tr w:rsidR="00026F72" w:rsidRPr="00A63EDC" w14:paraId="42DA1CE2" w14:textId="77777777" w:rsidTr="00026F72">
        <w:trPr>
          <w:trHeight w:val="462"/>
        </w:trPr>
        <w:tc>
          <w:tcPr>
            <w:tcW w:w="241" w:type="pct"/>
            <w:tcBorders>
              <w:top w:val="nil"/>
              <w:left w:val="single" w:sz="4" w:space="0" w:color="auto"/>
              <w:bottom w:val="nil"/>
              <w:right w:val="single" w:sz="4" w:space="0" w:color="auto"/>
            </w:tcBorders>
            <w:shd w:val="clear" w:color="000000" w:fill="FFFFFF"/>
            <w:noWrap/>
            <w:tcMar>
              <w:top w:w="15" w:type="dxa"/>
              <w:left w:w="15" w:type="dxa"/>
              <w:bottom w:w="0" w:type="dxa"/>
              <w:right w:w="15" w:type="dxa"/>
            </w:tcMar>
            <w:vAlign w:val="center"/>
            <w:hideMark/>
          </w:tcPr>
          <w:p w14:paraId="13363B5F" w14:textId="77777777" w:rsidR="00026F72" w:rsidRPr="00A63EDC" w:rsidRDefault="00026F72" w:rsidP="00026F72">
            <w:pPr>
              <w:jc w:val="center"/>
              <w:rPr>
                <w:color w:val="000000"/>
                <w:sz w:val="20"/>
                <w:szCs w:val="20"/>
              </w:rPr>
            </w:pPr>
            <w:r w:rsidRPr="00A63EDC">
              <w:rPr>
                <w:color w:val="000000"/>
                <w:sz w:val="20"/>
                <w:szCs w:val="20"/>
              </w:rPr>
              <w:t>9</w:t>
            </w:r>
          </w:p>
        </w:tc>
        <w:tc>
          <w:tcPr>
            <w:tcW w:w="104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229071A6"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1A64A162"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218FE94C" w14:textId="77777777" w:rsidR="00026F72" w:rsidRPr="00A63EDC" w:rsidRDefault="00026F72" w:rsidP="00026F72">
            <w:pPr>
              <w:jc w:val="center"/>
              <w:rPr>
                <w:color w:val="000000"/>
                <w:sz w:val="20"/>
                <w:szCs w:val="20"/>
              </w:rPr>
            </w:pPr>
            <w:r w:rsidRPr="00A63EDC">
              <w:rPr>
                <w:color w:val="000000"/>
                <w:sz w:val="20"/>
                <w:szCs w:val="20"/>
              </w:rPr>
              <w:t>Peteranec</w:t>
            </w:r>
          </w:p>
        </w:tc>
        <w:tc>
          <w:tcPr>
            <w:tcW w:w="588"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28F5C108" w14:textId="77777777" w:rsidR="00026F72" w:rsidRPr="00A63EDC" w:rsidRDefault="00026F72" w:rsidP="00026F72">
            <w:pPr>
              <w:jc w:val="center"/>
              <w:rPr>
                <w:color w:val="000000"/>
                <w:sz w:val="20"/>
                <w:szCs w:val="20"/>
              </w:rPr>
            </w:pPr>
            <w:r w:rsidRPr="00A63EDC">
              <w:rPr>
                <w:color w:val="000000"/>
                <w:sz w:val="20"/>
                <w:szCs w:val="20"/>
              </w:rPr>
              <w:t>1,544</w:t>
            </w:r>
          </w:p>
        </w:tc>
        <w:tc>
          <w:tcPr>
            <w:tcW w:w="811"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76FB2120" w14:textId="77777777" w:rsidR="00026F72" w:rsidRPr="00A63EDC" w:rsidRDefault="00026F72" w:rsidP="00026F72">
            <w:pPr>
              <w:jc w:val="center"/>
              <w:rPr>
                <w:color w:val="000000"/>
                <w:sz w:val="20"/>
                <w:szCs w:val="20"/>
              </w:rPr>
            </w:pPr>
            <w:r w:rsidRPr="00A63EDC">
              <w:rPr>
                <w:color w:val="000000"/>
                <w:sz w:val="20"/>
                <w:szCs w:val="20"/>
              </w:rPr>
              <w:t>50.65%</w:t>
            </w:r>
          </w:p>
        </w:tc>
        <w:tc>
          <w:tcPr>
            <w:tcW w:w="643" w:type="pct"/>
            <w:tcBorders>
              <w:top w:val="nil"/>
              <w:left w:val="nil"/>
              <w:bottom w:val="single" w:sz="4" w:space="0" w:color="auto"/>
              <w:right w:val="single" w:sz="4" w:space="0" w:color="auto"/>
            </w:tcBorders>
            <w:noWrap/>
            <w:tcMar>
              <w:top w:w="15" w:type="dxa"/>
              <w:left w:w="15" w:type="dxa"/>
              <w:bottom w:w="0" w:type="dxa"/>
              <w:right w:w="15" w:type="dxa"/>
            </w:tcMar>
            <w:hideMark/>
          </w:tcPr>
          <w:p w14:paraId="1B32C4EF" w14:textId="4BE37A75"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05B9C57E" w14:textId="77777777" w:rsidR="00026F72" w:rsidRPr="00A63EDC" w:rsidRDefault="00026F72" w:rsidP="00026F72">
            <w:pPr>
              <w:jc w:val="center"/>
              <w:rPr>
                <w:color w:val="000000"/>
                <w:sz w:val="20"/>
                <w:szCs w:val="20"/>
              </w:rPr>
            </w:pPr>
            <w:r w:rsidRPr="00A63EDC">
              <w:rPr>
                <w:color w:val="000000"/>
                <w:sz w:val="20"/>
                <w:szCs w:val="20"/>
              </w:rPr>
              <w:t>1</w:t>
            </w:r>
          </w:p>
        </w:tc>
      </w:tr>
      <w:tr w:rsidR="00026F72" w:rsidRPr="00A63EDC" w14:paraId="7907D93C" w14:textId="77777777" w:rsidTr="00026F72">
        <w:trPr>
          <w:trHeight w:val="462"/>
        </w:trPr>
        <w:tc>
          <w:tcPr>
            <w:tcW w:w="241" w:type="pct"/>
            <w:tcBorders>
              <w:top w:val="single" w:sz="4" w:space="0" w:color="auto"/>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4492E716" w14:textId="77777777" w:rsidR="00026F72" w:rsidRPr="00A63EDC" w:rsidRDefault="00026F72" w:rsidP="00026F72">
            <w:pPr>
              <w:jc w:val="center"/>
              <w:rPr>
                <w:color w:val="000000"/>
                <w:sz w:val="20"/>
                <w:szCs w:val="20"/>
              </w:rPr>
            </w:pPr>
            <w:r w:rsidRPr="00A63EDC">
              <w:rPr>
                <w:color w:val="000000"/>
                <w:sz w:val="20"/>
                <w:szCs w:val="20"/>
              </w:rPr>
              <w:t>10</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2B820CA" w14:textId="77777777" w:rsidR="00026F72" w:rsidRPr="00A63EDC" w:rsidRDefault="00026F72" w:rsidP="00026F72">
            <w:pPr>
              <w:jc w:val="center"/>
              <w:rPr>
                <w:color w:val="000000"/>
                <w:sz w:val="20"/>
                <w:szCs w:val="20"/>
              </w:rPr>
            </w:pPr>
            <w:r w:rsidRPr="00A63EDC">
              <w:rPr>
                <w:color w:val="000000"/>
                <w:sz w:val="20"/>
                <w:szCs w:val="20"/>
              </w:rPr>
              <w:t xml:space="preserve"> KOPRIVNIČKO-KRIŽEVAČKA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CCED180"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25481FD3" w14:textId="77777777" w:rsidR="00026F72" w:rsidRPr="00A63EDC" w:rsidRDefault="00026F72" w:rsidP="00026F72">
            <w:pPr>
              <w:jc w:val="center"/>
              <w:rPr>
                <w:color w:val="000000"/>
                <w:sz w:val="20"/>
                <w:szCs w:val="20"/>
              </w:rPr>
            </w:pPr>
            <w:r w:rsidRPr="00A63EDC">
              <w:rPr>
                <w:color w:val="000000"/>
                <w:sz w:val="20"/>
                <w:szCs w:val="20"/>
              </w:rPr>
              <w:t>Križevci</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AF9B319" w14:textId="77777777" w:rsidR="00026F72" w:rsidRPr="00A63EDC" w:rsidRDefault="00026F72" w:rsidP="00026F72">
            <w:pPr>
              <w:jc w:val="center"/>
              <w:rPr>
                <w:color w:val="000000"/>
                <w:sz w:val="20"/>
                <w:szCs w:val="20"/>
              </w:rPr>
            </w:pPr>
            <w:r w:rsidRPr="00A63EDC">
              <w:rPr>
                <w:color w:val="000000"/>
                <w:sz w:val="20"/>
                <w:szCs w:val="20"/>
              </w:rPr>
              <w:t>13,379</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858B0EE" w14:textId="77777777" w:rsidR="00026F72" w:rsidRPr="00A63EDC" w:rsidRDefault="00026F72" w:rsidP="00026F72">
            <w:pPr>
              <w:jc w:val="center"/>
              <w:rPr>
                <w:color w:val="000000"/>
                <w:sz w:val="20"/>
                <w:szCs w:val="20"/>
              </w:rPr>
            </w:pPr>
            <w:r w:rsidRPr="00A63EDC">
              <w:rPr>
                <w:color w:val="000000"/>
                <w:sz w:val="20"/>
                <w:szCs w:val="20"/>
              </w:rPr>
              <w:t>38.04%</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3D88750D" w14:textId="04C3E0FD"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6FF3E5A" w14:textId="77777777" w:rsidR="00026F72" w:rsidRPr="00A63EDC" w:rsidRDefault="00026F72" w:rsidP="00026F72">
            <w:pPr>
              <w:jc w:val="center"/>
              <w:rPr>
                <w:color w:val="000000"/>
                <w:sz w:val="20"/>
                <w:szCs w:val="20"/>
              </w:rPr>
            </w:pPr>
            <w:r w:rsidRPr="00A63EDC">
              <w:rPr>
                <w:color w:val="000000"/>
                <w:sz w:val="20"/>
                <w:szCs w:val="20"/>
              </w:rPr>
              <w:t>3</w:t>
            </w:r>
          </w:p>
        </w:tc>
      </w:tr>
      <w:tr w:rsidR="00026F72" w:rsidRPr="00A63EDC" w14:paraId="7677DD57"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D25CB22" w14:textId="77777777" w:rsidR="00026F72" w:rsidRPr="00A63EDC" w:rsidRDefault="00026F72" w:rsidP="00026F72">
            <w:pPr>
              <w:jc w:val="center"/>
              <w:rPr>
                <w:color w:val="000000"/>
                <w:sz w:val="20"/>
                <w:szCs w:val="20"/>
              </w:rPr>
            </w:pPr>
            <w:r w:rsidRPr="00A63EDC">
              <w:rPr>
                <w:color w:val="000000"/>
                <w:sz w:val="20"/>
                <w:szCs w:val="20"/>
              </w:rPr>
              <w:t>11</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6DEEA666" w14:textId="77777777" w:rsidR="00026F72" w:rsidRPr="00A63EDC" w:rsidRDefault="00026F72" w:rsidP="00026F72">
            <w:pPr>
              <w:jc w:val="center"/>
              <w:rPr>
                <w:color w:val="000000"/>
                <w:sz w:val="20"/>
                <w:szCs w:val="20"/>
              </w:rPr>
            </w:pPr>
            <w:r w:rsidRPr="00A63EDC">
              <w:rPr>
                <w:color w:val="000000"/>
                <w:sz w:val="20"/>
                <w:szCs w:val="20"/>
              </w:rPr>
              <w:t>BJELOVARSKO-BILOGORSKA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7728918"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0002493F" w14:textId="77777777" w:rsidR="00026F72" w:rsidRPr="00A63EDC" w:rsidRDefault="00026F72" w:rsidP="00026F72">
            <w:pPr>
              <w:jc w:val="center"/>
              <w:rPr>
                <w:color w:val="000000"/>
                <w:sz w:val="20"/>
                <w:szCs w:val="20"/>
              </w:rPr>
            </w:pPr>
            <w:r w:rsidRPr="00A63EDC">
              <w:rPr>
                <w:color w:val="000000"/>
                <w:sz w:val="20"/>
                <w:szCs w:val="20"/>
              </w:rPr>
              <w:t>Daruvar</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2C09C2C" w14:textId="77777777" w:rsidR="00026F72" w:rsidRPr="00A63EDC" w:rsidRDefault="00026F72" w:rsidP="00026F72">
            <w:pPr>
              <w:jc w:val="center"/>
              <w:rPr>
                <w:color w:val="000000"/>
                <w:sz w:val="20"/>
                <w:szCs w:val="20"/>
              </w:rPr>
            </w:pPr>
            <w:r w:rsidRPr="00A63EDC">
              <w:rPr>
                <w:color w:val="000000"/>
                <w:sz w:val="20"/>
                <w:szCs w:val="20"/>
              </w:rPr>
              <w:t>8,118</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62343D38" w14:textId="77777777" w:rsidR="00026F72" w:rsidRPr="00A63EDC" w:rsidRDefault="00026F72" w:rsidP="00026F72">
            <w:pPr>
              <w:jc w:val="center"/>
              <w:rPr>
                <w:color w:val="000000"/>
                <w:sz w:val="20"/>
                <w:szCs w:val="20"/>
              </w:rPr>
            </w:pPr>
            <w:r w:rsidRPr="00A63EDC">
              <w:rPr>
                <w:color w:val="000000"/>
                <w:sz w:val="20"/>
                <w:szCs w:val="20"/>
              </w:rPr>
              <w:t>64.44%</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091D7114" w14:textId="7AAF885B"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4987B6AD" w14:textId="77777777" w:rsidR="00026F72" w:rsidRPr="00A63EDC" w:rsidRDefault="00026F72" w:rsidP="00026F72">
            <w:pPr>
              <w:jc w:val="center"/>
              <w:rPr>
                <w:color w:val="000000"/>
                <w:sz w:val="20"/>
                <w:szCs w:val="20"/>
              </w:rPr>
            </w:pPr>
            <w:r w:rsidRPr="00A63EDC">
              <w:rPr>
                <w:color w:val="000000"/>
                <w:sz w:val="20"/>
                <w:szCs w:val="20"/>
              </w:rPr>
              <w:t>3</w:t>
            </w:r>
          </w:p>
        </w:tc>
      </w:tr>
      <w:tr w:rsidR="00026F72" w:rsidRPr="00A63EDC" w14:paraId="7084B245" w14:textId="77777777" w:rsidTr="00026F72">
        <w:trPr>
          <w:trHeight w:val="462"/>
        </w:trPr>
        <w:tc>
          <w:tcPr>
            <w:tcW w:w="241" w:type="pct"/>
            <w:tcBorders>
              <w:top w:val="nil"/>
              <w:left w:val="single" w:sz="4" w:space="0" w:color="auto"/>
              <w:bottom w:val="nil"/>
              <w:right w:val="single" w:sz="4" w:space="0" w:color="auto"/>
            </w:tcBorders>
            <w:shd w:val="clear" w:color="000000" w:fill="FFFFFF"/>
            <w:noWrap/>
            <w:tcMar>
              <w:top w:w="15" w:type="dxa"/>
              <w:left w:w="15" w:type="dxa"/>
              <w:bottom w:w="0" w:type="dxa"/>
              <w:right w:w="15" w:type="dxa"/>
            </w:tcMar>
            <w:vAlign w:val="center"/>
            <w:hideMark/>
          </w:tcPr>
          <w:p w14:paraId="6F735248" w14:textId="77777777" w:rsidR="00026F72" w:rsidRPr="00A63EDC" w:rsidRDefault="00026F72" w:rsidP="00026F72">
            <w:pPr>
              <w:jc w:val="center"/>
              <w:rPr>
                <w:color w:val="000000"/>
                <w:sz w:val="20"/>
                <w:szCs w:val="20"/>
              </w:rPr>
            </w:pPr>
            <w:r w:rsidRPr="00A63EDC">
              <w:rPr>
                <w:color w:val="000000"/>
                <w:sz w:val="20"/>
                <w:szCs w:val="20"/>
              </w:rPr>
              <w:t>12</w:t>
            </w:r>
          </w:p>
        </w:tc>
        <w:tc>
          <w:tcPr>
            <w:tcW w:w="104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362881C7" w14:textId="77777777" w:rsidR="00026F72" w:rsidRPr="00A63EDC" w:rsidRDefault="00026F72" w:rsidP="00026F72">
            <w:pPr>
              <w:jc w:val="center"/>
              <w:rPr>
                <w:color w:val="000000"/>
                <w:sz w:val="20"/>
                <w:szCs w:val="20"/>
              </w:rPr>
            </w:pPr>
            <w:r w:rsidRPr="00A63EDC">
              <w:rPr>
                <w:color w:val="000000"/>
                <w:sz w:val="20"/>
                <w:szCs w:val="20"/>
              </w:rPr>
              <w:t>POŽEŠKO-SLAVONSKA</w:t>
            </w:r>
          </w:p>
        </w:tc>
        <w:tc>
          <w:tcPr>
            <w:tcW w:w="560"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4B077F3E"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tcMar>
              <w:top w:w="15" w:type="dxa"/>
              <w:left w:w="15" w:type="dxa"/>
              <w:bottom w:w="0" w:type="dxa"/>
              <w:right w:w="15" w:type="dxa"/>
            </w:tcMar>
            <w:vAlign w:val="center"/>
            <w:hideMark/>
          </w:tcPr>
          <w:p w14:paraId="79A94017" w14:textId="77777777" w:rsidR="00026F72" w:rsidRPr="00A63EDC" w:rsidRDefault="00026F72" w:rsidP="00026F72">
            <w:pPr>
              <w:jc w:val="center"/>
              <w:rPr>
                <w:color w:val="000000"/>
                <w:sz w:val="20"/>
                <w:szCs w:val="20"/>
              </w:rPr>
            </w:pPr>
            <w:r w:rsidRPr="00A63EDC">
              <w:rPr>
                <w:color w:val="000000"/>
                <w:sz w:val="20"/>
                <w:szCs w:val="20"/>
              </w:rPr>
              <w:t>Pakrac</w:t>
            </w:r>
          </w:p>
        </w:tc>
        <w:tc>
          <w:tcPr>
            <w:tcW w:w="588"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6D0CB900" w14:textId="77777777" w:rsidR="00026F72" w:rsidRPr="00A63EDC" w:rsidRDefault="00026F72" w:rsidP="00026F72">
            <w:pPr>
              <w:jc w:val="center"/>
              <w:rPr>
                <w:color w:val="000000"/>
                <w:sz w:val="20"/>
                <w:szCs w:val="20"/>
              </w:rPr>
            </w:pPr>
            <w:r w:rsidRPr="00A63EDC">
              <w:rPr>
                <w:color w:val="000000"/>
                <w:sz w:val="20"/>
                <w:szCs w:val="20"/>
              </w:rPr>
              <w:t>7,783</w:t>
            </w:r>
          </w:p>
        </w:tc>
        <w:tc>
          <w:tcPr>
            <w:tcW w:w="811"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1C221E94" w14:textId="77777777" w:rsidR="00026F72" w:rsidRPr="00A63EDC" w:rsidRDefault="00026F72" w:rsidP="00026F72">
            <w:pPr>
              <w:jc w:val="center"/>
              <w:rPr>
                <w:color w:val="000000"/>
                <w:sz w:val="20"/>
                <w:szCs w:val="20"/>
              </w:rPr>
            </w:pPr>
            <w:r w:rsidRPr="00A63EDC">
              <w:rPr>
                <w:color w:val="000000"/>
                <w:sz w:val="20"/>
                <w:szCs w:val="20"/>
              </w:rPr>
              <w:t>42.86%</w:t>
            </w:r>
          </w:p>
        </w:tc>
        <w:tc>
          <w:tcPr>
            <w:tcW w:w="643" w:type="pct"/>
            <w:tcBorders>
              <w:top w:val="nil"/>
              <w:left w:val="nil"/>
              <w:bottom w:val="single" w:sz="4" w:space="0" w:color="auto"/>
              <w:right w:val="single" w:sz="4" w:space="0" w:color="auto"/>
            </w:tcBorders>
            <w:noWrap/>
            <w:tcMar>
              <w:top w:w="15" w:type="dxa"/>
              <w:left w:w="15" w:type="dxa"/>
              <w:bottom w:w="0" w:type="dxa"/>
              <w:right w:w="15" w:type="dxa"/>
            </w:tcMar>
            <w:hideMark/>
          </w:tcPr>
          <w:p w14:paraId="63FBC4B1" w14:textId="4BD69396"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noWrap/>
            <w:tcMar>
              <w:top w:w="15" w:type="dxa"/>
              <w:left w:w="15" w:type="dxa"/>
              <w:bottom w:w="0" w:type="dxa"/>
              <w:right w:w="15" w:type="dxa"/>
            </w:tcMar>
            <w:vAlign w:val="center"/>
            <w:hideMark/>
          </w:tcPr>
          <w:p w14:paraId="4CB5AB98" w14:textId="77777777" w:rsidR="00026F72" w:rsidRPr="00A63EDC" w:rsidRDefault="00026F72" w:rsidP="00026F72">
            <w:pPr>
              <w:jc w:val="center"/>
              <w:rPr>
                <w:color w:val="000000"/>
                <w:sz w:val="20"/>
                <w:szCs w:val="20"/>
              </w:rPr>
            </w:pPr>
            <w:r w:rsidRPr="00A63EDC">
              <w:rPr>
                <w:color w:val="000000"/>
                <w:sz w:val="20"/>
                <w:szCs w:val="20"/>
              </w:rPr>
              <w:t>2</w:t>
            </w:r>
          </w:p>
        </w:tc>
      </w:tr>
      <w:tr w:rsidR="00026F72" w:rsidRPr="00A63EDC" w14:paraId="6402665E" w14:textId="77777777" w:rsidTr="00026F72">
        <w:trPr>
          <w:trHeight w:val="462"/>
        </w:trPr>
        <w:tc>
          <w:tcPr>
            <w:tcW w:w="241" w:type="pct"/>
            <w:tcBorders>
              <w:top w:val="single" w:sz="4" w:space="0" w:color="auto"/>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DB7E8EB" w14:textId="77777777" w:rsidR="00026F72" w:rsidRPr="00A63EDC" w:rsidRDefault="00026F72" w:rsidP="00026F72">
            <w:pPr>
              <w:jc w:val="center"/>
              <w:rPr>
                <w:color w:val="000000"/>
                <w:sz w:val="20"/>
                <w:szCs w:val="20"/>
              </w:rPr>
            </w:pPr>
            <w:r w:rsidRPr="00A63EDC">
              <w:rPr>
                <w:color w:val="000000"/>
                <w:sz w:val="20"/>
                <w:szCs w:val="20"/>
              </w:rPr>
              <w:t>13</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036F4FEC" w14:textId="77777777" w:rsidR="00026F72" w:rsidRPr="00A63EDC" w:rsidRDefault="00026F72" w:rsidP="00026F72">
            <w:pPr>
              <w:jc w:val="center"/>
              <w:rPr>
                <w:color w:val="000000"/>
                <w:sz w:val="20"/>
                <w:szCs w:val="20"/>
              </w:rPr>
            </w:pPr>
            <w:r w:rsidRPr="00A63EDC">
              <w:rPr>
                <w:color w:val="000000"/>
                <w:sz w:val="20"/>
                <w:szCs w:val="20"/>
              </w:rPr>
              <w:t xml:space="preserve"> VIROVITIČKO-PODRAVSKA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6059CE53"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04D2BD4" w14:textId="77777777" w:rsidR="00026F72" w:rsidRPr="00A63EDC" w:rsidRDefault="00026F72" w:rsidP="00026F72">
            <w:pPr>
              <w:jc w:val="center"/>
              <w:rPr>
                <w:color w:val="000000"/>
                <w:sz w:val="20"/>
                <w:szCs w:val="20"/>
              </w:rPr>
            </w:pPr>
            <w:r w:rsidRPr="00A63EDC">
              <w:rPr>
                <w:color w:val="000000"/>
                <w:sz w:val="20"/>
                <w:szCs w:val="20"/>
              </w:rPr>
              <w:t>Pitomača</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B975083" w14:textId="77777777" w:rsidR="00026F72" w:rsidRPr="00A63EDC" w:rsidRDefault="00026F72" w:rsidP="00026F72">
            <w:pPr>
              <w:jc w:val="center"/>
              <w:rPr>
                <w:color w:val="000000"/>
                <w:sz w:val="20"/>
                <w:szCs w:val="20"/>
              </w:rPr>
            </w:pPr>
            <w:r w:rsidRPr="00A63EDC">
              <w:rPr>
                <w:color w:val="000000"/>
                <w:sz w:val="20"/>
                <w:szCs w:val="20"/>
              </w:rPr>
              <w:t>5,585</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6F88C07" w14:textId="77777777" w:rsidR="00026F72" w:rsidRPr="00A63EDC" w:rsidRDefault="00026F72" w:rsidP="00026F72">
            <w:pPr>
              <w:jc w:val="center"/>
              <w:rPr>
                <w:color w:val="000000"/>
                <w:sz w:val="20"/>
                <w:szCs w:val="20"/>
              </w:rPr>
            </w:pPr>
            <w:r w:rsidRPr="00A63EDC">
              <w:rPr>
                <w:color w:val="000000"/>
                <w:sz w:val="20"/>
                <w:szCs w:val="20"/>
              </w:rPr>
              <w:t>59.55%</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1820CB9A" w14:textId="580E618F"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3D2F8B5E" w14:textId="77777777" w:rsidR="00026F72" w:rsidRPr="00A63EDC" w:rsidRDefault="00026F72" w:rsidP="00026F72">
            <w:pPr>
              <w:jc w:val="center"/>
              <w:rPr>
                <w:color w:val="000000"/>
                <w:sz w:val="20"/>
                <w:szCs w:val="20"/>
              </w:rPr>
            </w:pPr>
            <w:r w:rsidRPr="00A63EDC">
              <w:rPr>
                <w:color w:val="000000"/>
                <w:sz w:val="20"/>
                <w:szCs w:val="20"/>
              </w:rPr>
              <w:t>2</w:t>
            </w:r>
          </w:p>
        </w:tc>
      </w:tr>
      <w:tr w:rsidR="00026F72" w:rsidRPr="00A63EDC" w14:paraId="3116E38A"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4B1E2074" w14:textId="77777777" w:rsidR="00026F72" w:rsidRPr="00A63EDC" w:rsidRDefault="00026F72" w:rsidP="00026F72">
            <w:pPr>
              <w:jc w:val="center"/>
              <w:rPr>
                <w:color w:val="000000"/>
                <w:sz w:val="20"/>
                <w:szCs w:val="20"/>
              </w:rPr>
            </w:pPr>
            <w:r w:rsidRPr="00A63EDC">
              <w:rPr>
                <w:color w:val="000000"/>
                <w:sz w:val="20"/>
                <w:szCs w:val="20"/>
              </w:rPr>
              <w:lastRenderedPageBreak/>
              <w:t>14</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DCFE917" w14:textId="77777777" w:rsidR="00026F72" w:rsidRPr="00A63EDC" w:rsidRDefault="00026F72" w:rsidP="00026F72">
            <w:pPr>
              <w:jc w:val="center"/>
              <w:rPr>
                <w:color w:val="000000"/>
                <w:sz w:val="20"/>
                <w:szCs w:val="20"/>
              </w:rPr>
            </w:pPr>
            <w:r w:rsidRPr="00A63EDC">
              <w:rPr>
                <w:color w:val="000000"/>
                <w:sz w:val="20"/>
                <w:szCs w:val="20"/>
              </w:rPr>
              <w:t xml:space="preserve"> VIROVITIČKO-PODRAVSKA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0C2E073A" w14:textId="77777777" w:rsidR="00026F72" w:rsidRPr="00A63EDC" w:rsidRDefault="00026F72" w:rsidP="00026F72">
            <w:pPr>
              <w:jc w:val="center"/>
              <w:rPr>
                <w:color w:val="000000"/>
                <w:sz w:val="20"/>
                <w:szCs w:val="20"/>
              </w:rPr>
            </w:pPr>
            <w:r w:rsidRPr="00A63EDC">
              <w:rPr>
                <w:color w:val="000000"/>
                <w:sz w:val="20"/>
                <w:szCs w:val="20"/>
              </w:rPr>
              <w:t>Grad</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5CD7F6D0" w14:textId="77777777" w:rsidR="00026F72" w:rsidRPr="00A63EDC" w:rsidRDefault="00026F72" w:rsidP="00026F72">
            <w:pPr>
              <w:jc w:val="center"/>
              <w:rPr>
                <w:color w:val="000000"/>
                <w:sz w:val="20"/>
                <w:szCs w:val="20"/>
              </w:rPr>
            </w:pPr>
            <w:r w:rsidRPr="00A63EDC">
              <w:rPr>
                <w:color w:val="000000"/>
                <w:sz w:val="20"/>
                <w:szCs w:val="20"/>
              </w:rPr>
              <w:t>Virovitica</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642472FC" w14:textId="77777777" w:rsidR="00026F72" w:rsidRPr="00A63EDC" w:rsidRDefault="00026F72" w:rsidP="00026F72">
            <w:pPr>
              <w:jc w:val="center"/>
              <w:rPr>
                <w:color w:val="000000"/>
                <w:sz w:val="20"/>
                <w:szCs w:val="20"/>
              </w:rPr>
            </w:pPr>
            <w:r w:rsidRPr="00A63EDC">
              <w:rPr>
                <w:color w:val="000000"/>
                <w:sz w:val="20"/>
                <w:szCs w:val="20"/>
              </w:rPr>
              <w:t>12,527</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655C1D30" w14:textId="77777777" w:rsidR="00026F72" w:rsidRPr="00A63EDC" w:rsidRDefault="00026F72" w:rsidP="00026F72">
            <w:pPr>
              <w:jc w:val="center"/>
              <w:rPr>
                <w:color w:val="000000"/>
                <w:sz w:val="20"/>
                <w:szCs w:val="20"/>
              </w:rPr>
            </w:pPr>
            <w:r w:rsidRPr="00A63EDC">
              <w:rPr>
                <w:color w:val="000000"/>
                <w:sz w:val="20"/>
                <w:szCs w:val="20"/>
              </w:rPr>
              <w:t>62.85%</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19D8AD01" w14:textId="2EE4ACFB"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2871CECA" w14:textId="77777777" w:rsidR="00026F72" w:rsidRPr="00A63EDC" w:rsidRDefault="00026F72" w:rsidP="00026F72">
            <w:pPr>
              <w:jc w:val="center"/>
              <w:rPr>
                <w:color w:val="000000"/>
                <w:sz w:val="20"/>
                <w:szCs w:val="20"/>
              </w:rPr>
            </w:pPr>
            <w:r w:rsidRPr="00A63EDC">
              <w:rPr>
                <w:color w:val="000000"/>
                <w:sz w:val="20"/>
                <w:szCs w:val="20"/>
              </w:rPr>
              <w:t>3</w:t>
            </w:r>
          </w:p>
        </w:tc>
      </w:tr>
      <w:tr w:rsidR="00026F72" w:rsidRPr="00A63EDC" w14:paraId="687350B2" w14:textId="77777777" w:rsidTr="00026F72">
        <w:trPr>
          <w:trHeight w:val="462"/>
        </w:trPr>
        <w:tc>
          <w:tcPr>
            <w:tcW w:w="241" w:type="pct"/>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623FBE6" w14:textId="77777777" w:rsidR="00026F72" w:rsidRPr="00A63EDC" w:rsidRDefault="00026F72" w:rsidP="00026F72">
            <w:pPr>
              <w:jc w:val="center"/>
              <w:rPr>
                <w:color w:val="000000"/>
                <w:sz w:val="20"/>
                <w:szCs w:val="20"/>
              </w:rPr>
            </w:pPr>
            <w:r w:rsidRPr="00A63EDC">
              <w:rPr>
                <w:color w:val="000000"/>
                <w:sz w:val="20"/>
                <w:szCs w:val="20"/>
              </w:rPr>
              <w:t>15</w:t>
            </w:r>
          </w:p>
        </w:tc>
        <w:tc>
          <w:tcPr>
            <w:tcW w:w="104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3D838D6F" w14:textId="77777777" w:rsidR="00026F72" w:rsidRPr="00A63EDC" w:rsidRDefault="00026F72" w:rsidP="00026F72">
            <w:pPr>
              <w:jc w:val="center"/>
              <w:rPr>
                <w:color w:val="000000"/>
                <w:sz w:val="20"/>
                <w:szCs w:val="20"/>
              </w:rPr>
            </w:pPr>
            <w:r w:rsidRPr="00A63EDC">
              <w:rPr>
                <w:color w:val="000000"/>
                <w:sz w:val="20"/>
                <w:szCs w:val="20"/>
              </w:rPr>
              <w:t>VIROVITIČKO-PODRAVSKA</w:t>
            </w:r>
          </w:p>
        </w:tc>
        <w:tc>
          <w:tcPr>
            <w:tcW w:w="560"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AD59DDB" w14:textId="77777777" w:rsidR="00026F72" w:rsidRPr="00A63EDC" w:rsidRDefault="00026F72" w:rsidP="00026F72">
            <w:pPr>
              <w:jc w:val="center"/>
              <w:rPr>
                <w:color w:val="000000"/>
                <w:sz w:val="20"/>
                <w:szCs w:val="20"/>
              </w:rPr>
            </w:pPr>
            <w:r w:rsidRPr="00A63EDC">
              <w:rPr>
                <w:color w:val="000000"/>
                <w:sz w:val="20"/>
                <w:szCs w:val="20"/>
              </w:rPr>
              <w:t>Općina</w:t>
            </w:r>
          </w:p>
        </w:tc>
        <w:tc>
          <w:tcPr>
            <w:tcW w:w="661" w:type="pct"/>
            <w:tcBorders>
              <w:top w:val="nil"/>
              <w:left w:val="nil"/>
              <w:bottom w:val="single" w:sz="4" w:space="0" w:color="auto"/>
              <w:right w:val="single" w:sz="4" w:space="0" w:color="auto"/>
            </w:tcBorders>
            <w:shd w:val="clear" w:color="000000" w:fill="FFFFFF"/>
            <w:tcMar>
              <w:top w:w="15" w:type="dxa"/>
              <w:left w:w="15" w:type="dxa"/>
              <w:bottom w:w="0" w:type="dxa"/>
              <w:right w:w="15" w:type="dxa"/>
            </w:tcMar>
            <w:vAlign w:val="center"/>
            <w:hideMark/>
          </w:tcPr>
          <w:p w14:paraId="7015E626" w14:textId="77777777" w:rsidR="00026F72" w:rsidRPr="00A63EDC" w:rsidRDefault="00026F72" w:rsidP="00026F72">
            <w:pPr>
              <w:jc w:val="center"/>
              <w:rPr>
                <w:color w:val="000000"/>
                <w:sz w:val="20"/>
                <w:szCs w:val="20"/>
              </w:rPr>
            </w:pPr>
            <w:r w:rsidRPr="00A63EDC">
              <w:rPr>
                <w:color w:val="000000"/>
                <w:sz w:val="20"/>
                <w:szCs w:val="20"/>
              </w:rPr>
              <w:t>Suhopolje</w:t>
            </w:r>
          </w:p>
        </w:tc>
        <w:tc>
          <w:tcPr>
            <w:tcW w:w="588"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132B28EF" w14:textId="77777777" w:rsidR="00026F72" w:rsidRPr="00A63EDC" w:rsidRDefault="00026F72" w:rsidP="00026F72">
            <w:pPr>
              <w:jc w:val="center"/>
              <w:rPr>
                <w:color w:val="000000"/>
                <w:sz w:val="20"/>
                <w:szCs w:val="20"/>
              </w:rPr>
            </w:pPr>
            <w:r w:rsidRPr="00A63EDC">
              <w:rPr>
                <w:color w:val="000000"/>
                <w:sz w:val="20"/>
                <w:szCs w:val="20"/>
              </w:rPr>
              <w:t>3,805</w:t>
            </w:r>
          </w:p>
        </w:tc>
        <w:tc>
          <w:tcPr>
            <w:tcW w:w="811"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79CE064D" w14:textId="77777777" w:rsidR="00026F72" w:rsidRPr="00A63EDC" w:rsidRDefault="00026F72" w:rsidP="00026F72">
            <w:pPr>
              <w:jc w:val="center"/>
              <w:rPr>
                <w:color w:val="000000"/>
                <w:sz w:val="20"/>
                <w:szCs w:val="20"/>
              </w:rPr>
            </w:pPr>
            <w:r w:rsidRPr="00A63EDC">
              <w:rPr>
                <w:color w:val="000000"/>
                <w:sz w:val="20"/>
                <w:szCs w:val="20"/>
              </w:rPr>
              <w:t>33.11%</w:t>
            </w:r>
          </w:p>
        </w:tc>
        <w:tc>
          <w:tcPr>
            <w:tcW w:w="643"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hideMark/>
          </w:tcPr>
          <w:p w14:paraId="6FD4C1FD" w14:textId="6E38B107" w:rsidR="00026F72" w:rsidRPr="00A63EDC" w:rsidRDefault="00026F72" w:rsidP="00026F72">
            <w:pPr>
              <w:jc w:val="center"/>
              <w:rPr>
                <w:color w:val="000000"/>
                <w:sz w:val="20"/>
                <w:szCs w:val="20"/>
              </w:rPr>
            </w:pPr>
            <w:r w:rsidRPr="009A6764">
              <w:rPr>
                <w:rFonts w:ascii="Wingdings" w:hAnsi="Wingdings"/>
              </w:rPr>
              <w:t></w:t>
            </w:r>
          </w:p>
        </w:tc>
        <w:tc>
          <w:tcPr>
            <w:tcW w:w="455" w:type="pct"/>
            <w:tcBorders>
              <w:top w:val="nil"/>
              <w:left w:val="nil"/>
              <w:bottom w:val="single" w:sz="4" w:space="0" w:color="auto"/>
              <w:right w:val="single" w:sz="4" w:space="0" w:color="auto"/>
            </w:tcBorders>
            <w:shd w:val="clear" w:color="000000" w:fill="FFFFFF"/>
            <w:noWrap/>
            <w:tcMar>
              <w:top w:w="15" w:type="dxa"/>
              <w:left w:w="15" w:type="dxa"/>
              <w:bottom w:w="0" w:type="dxa"/>
              <w:right w:w="15" w:type="dxa"/>
            </w:tcMar>
            <w:vAlign w:val="center"/>
            <w:hideMark/>
          </w:tcPr>
          <w:p w14:paraId="5022F73A" w14:textId="77777777" w:rsidR="00026F72" w:rsidRPr="00A63EDC" w:rsidRDefault="00026F72" w:rsidP="00026F72">
            <w:pPr>
              <w:jc w:val="center"/>
              <w:rPr>
                <w:color w:val="000000"/>
                <w:sz w:val="20"/>
                <w:szCs w:val="20"/>
              </w:rPr>
            </w:pPr>
            <w:r w:rsidRPr="00A63EDC">
              <w:rPr>
                <w:color w:val="000000"/>
                <w:sz w:val="20"/>
                <w:szCs w:val="20"/>
              </w:rPr>
              <w:t>2</w:t>
            </w:r>
          </w:p>
        </w:tc>
      </w:tr>
    </w:tbl>
    <w:p w14:paraId="6DCC7C42" w14:textId="10184C11" w:rsidR="002A0B8A" w:rsidRDefault="00001B9E" w:rsidP="002A0B8A">
      <w:r w:rsidRPr="00BD3718" w:rsidDel="00FF70C0">
        <w:rPr>
          <w:sz w:val="20"/>
          <w:szCs w:val="20"/>
        </w:rPr>
        <w:t xml:space="preserve"> </w:t>
      </w:r>
    </w:p>
    <w:sectPr w:rsidR="002A0B8A" w:rsidSect="001F6C72">
      <w:headerReference w:type="first" r:id="rId15"/>
      <w:footerReference w:type="first" r:id="rId16"/>
      <w:pgSz w:w="11906" w:h="16838" w:code="9"/>
      <w:pgMar w:top="1418" w:right="1134" w:bottom="1701" w:left="1134" w:header="340" w:footer="45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2C5B94" w16cex:dateUtc="2026-06-11T06:31:00Z"/>
  <w16cex:commentExtensible w16cex:durableId="3B08C6EF" w16cex:dateUtc="2026-06-11T06:33:00Z"/>
  <w16cex:commentExtensible w16cex:durableId="723D75B3" w16cex:dateUtc="2026-06-11T06:40:00Z"/>
  <w16cex:commentExtensible w16cex:durableId="357095CB" w16cex:dateUtc="2026-06-11T06:47:00Z"/>
  <w16cex:commentExtensible w16cex:durableId="5A0A7494" w16cex:dateUtc="2026-06-11T06:53:00Z"/>
  <w16cex:commentExtensible w16cex:durableId="77DF2B4D" w16cex:dateUtc="2026-06-11T06:54:00Z"/>
  <w16cex:commentExtensible w16cex:durableId="0641EAC7" w16cex:dateUtc="2026-06-11T06:56:00Z"/>
  <w16cex:commentExtensible w16cex:durableId="22805519" w16cex:dateUtc="2026-06-11T06:57:00Z"/>
  <w16cex:commentExtensible w16cex:durableId="2356740A" w16cex:dateUtc="2026-06-11T07:00:00Z"/>
  <w16cex:commentExtensible w16cex:durableId="0C246796" w16cex:dateUtc="2026-06-11T07:55:00Z"/>
  <w16cex:commentExtensible w16cex:durableId="22D64FC8" w16cex:dateUtc="2026-06-11T07:57:00Z"/>
  <w16cex:commentExtensible w16cex:durableId="1A7AD020" w16cex:dateUtc="2026-06-11T08:02:00Z"/>
  <w16cex:commentExtensible w16cex:durableId="28949DF5" w16cex:dateUtc="2026-06-11T08:03:00Z"/>
  <w16cex:commentExtensible w16cex:durableId="02627D6F" w16cex:dateUtc="2026-06-11T08:03:00Z"/>
  <w16cex:commentExtensible w16cex:durableId="4D4F2D2A" w16cex:dateUtc="2026-06-11T08:06:00Z"/>
  <w16cex:commentExtensible w16cex:durableId="114B49DE" w16cex:dateUtc="2026-06-11T08:04:00Z"/>
  <w16cex:commentExtensible w16cex:durableId="1941AC4F" w16cex:dateUtc="2026-06-11T0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F05715A" w16cid:durableId="5F05715A"/>
  <w16cid:commentId w16cid:paraId="5B311583" w16cid:durableId="5B311583"/>
  <w16cid:commentId w16cid:paraId="2FC3BACB" w16cid:durableId="2FC3BACB"/>
  <w16cid:commentId w16cid:paraId="69615F93" w16cid:durableId="4B2C5B94"/>
  <w16cid:commentId w16cid:paraId="1064DABD" w16cid:durableId="3B08C6EF"/>
  <w16cid:commentId w16cid:paraId="0E2B3941" w16cid:durableId="723D75B3"/>
  <w16cid:commentId w16cid:paraId="00A25433" w16cid:durableId="00A25433"/>
  <w16cid:commentId w16cid:paraId="740657D7" w16cid:durableId="357095CB"/>
  <w16cid:commentId w16cid:paraId="5F583B08" w16cid:durableId="5F583B08"/>
  <w16cid:commentId w16cid:paraId="6BDD8CAB" w16cid:durableId="6BDD8CAB"/>
  <w16cid:commentId w16cid:paraId="35CC0BD5" w16cid:durableId="35CC0BD5"/>
  <w16cid:commentId w16cid:paraId="2D9ABEA2" w16cid:durableId="2D9ABEA2"/>
  <w16cid:commentId w16cid:paraId="42E432F5" w16cid:durableId="42E432F5"/>
  <w16cid:commentId w16cid:paraId="13D3AA2E" w16cid:durableId="13D3AA2E"/>
  <w16cid:commentId w16cid:paraId="78ED0A91" w16cid:durableId="78ED0A91"/>
  <w16cid:commentId w16cid:paraId="1B3762E2" w16cid:durableId="1B3762E2"/>
  <w16cid:commentId w16cid:paraId="008EF556" w16cid:durableId="008EF556"/>
  <w16cid:commentId w16cid:paraId="298110BF" w16cid:durableId="298110BF"/>
  <w16cid:commentId w16cid:paraId="1AE0E081" w16cid:durableId="1AE0E081"/>
  <w16cid:commentId w16cid:paraId="0F046449" w16cid:durableId="0F046449"/>
  <w16cid:commentId w16cid:paraId="38DA55B8" w16cid:durableId="38DA55B8"/>
  <w16cid:commentId w16cid:paraId="7D83B683" w16cid:durableId="7D83B683"/>
  <w16cid:commentId w16cid:paraId="29396694" w16cid:durableId="29396694"/>
  <w16cid:commentId w16cid:paraId="4D7E6489" w16cid:durableId="5A0A7494"/>
  <w16cid:commentId w16cid:paraId="7385F1DF" w16cid:durableId="7385F1DF"/>
  <w16cid:commentId w16cid:paraId="5A987388" w16cid:durableId="77DF2B4D"/>
  <w16cid:commentId w16cid:paraId="494950BE" w16cid:durableId="494950BE"/>
  <w16cid:commentId w16cid:paraId="327A4099" w16cid:durableId="0641EAC7"/>
  <w16cid:commentId w16cid:paraId="5BF33451" w16cid:durableId="5BF33451"/>
  <w16cid:commentId w16cid:paraId="7EABF59E" w16cid:durableId="22805519"/>
  <w16cid:commentId w16cid:paraId="2D72D1D6" w16cid:durableId="2D72D1D6"/>
  <w16cid:commentId w16cid:paraId="48F38CAA" w16cid:durableId="48F38CAA"/>
  <w16cid:commentId w16cid:paraId="26DADBA8" w16cid:durableId="2356740A"/>
  <w16cid:commentId w16cid:paraId="1884414A" w16cid:durableId="1884414A"/>
  <w16cid:commentId w16cid:paraId="16EA047C" w16cid:durableId="0C246796"/>
  <w16cid:commentId w16cid:paraId="1888DD6A" w16cid:durableId="1888DD6A"/>
  <w16cid:commentId w16cid:paraId="645571E1" w16cid:durableId="22D64FC8"/>
  <w16cid:commentId w16cid:paraId="69775836" w16cid:durableId="69775836"/>
  <w16cid:commentId w16cid:paraId="72038470" w16cid:durableId="72038470"/>
  <w16cid:commentId w16cid:paraId="5F731E4C" w16cid:durableId="5F731E4C"/>
  <w16cid:commentId w16cid:paraId="2946970A" w16cid:durableId="2946970A"/>
  <w16cid:commentId w16cid:paraId="150E2E69" w16cid:durableId="150E2E69"/>
  <w16cid:commentId w16cid:paraId="601B436D" w16cid:durableId="601B436D"/>
  <w16cid:commentId w16cid:paraId="2F108A12" w16cid:durableId="2F108A12"/>
  <w16cid:commentId w16cid:paraId="288D93B5" w16cid:durableId="288D93B5"/>
  <w16cid:commentId w16cid:paraId="3E63A695" w16cid:durableId="1A7AD020"/>
  <w16cid:commentId w16cid:paraId="2987E3A1" w16cid:durableId="2987E3A1"/>
  <w16cid:commentId w16cid:paraId="695254E6" w16cid:durableId="695254E6"/>
  <w16cid:commentId w16cid:paraId="598691A3" w16cid:durableId="28949DF5"/>
  <w16cid:commentId w16cid:paraId="1F8F1698" w16cid:durableId="1F8F1698"/>
  <w16cid:commentId w16cid:paraId="72E0E703" w16cid:durableId="02627D6F"/>
  <w16cid:commentId w16cid:paraId="587E01D2" w16cid:durableId="4D4F2D2A"/>
  <w16cid:commentId w16cid:paraId="09E13198" w16cid:durableId="09E13198"/>
  <w16cid:commentId w16cid:paraId="73590C37" w16cid:durableId="114B49DE"/>
  <w16cid:commentId w16cid:paraId="571D5CDF" w16cid:durableId="571D5CDF"/>
  <w16cid:commentId w16cid:paraId="585792A4" w16cid:durableId="585792A4"/>
  <w16cid:commentId w16cid:paraId="69E07465" w16cid:durableId="69E07465"/>
  <w16cid:commentId w16cid:paraId="6D1DDAF1" w16cid:durableId="6D1DDAF1"/>
  <w16cid:commentId w16cid:paraId="25DD8293" w16cid:durableId="1941AC4F"/>
  <w16cid:commentId w16cid:paraId="09493DF2" w16cid:durableId="09493DF2"/>
  <w16cid:commentId w16cid:paraId="26BA7978" w16cid:durableId="26BA7978"/>
  <w16cid:commentId w16cid:paraId="5AF06E98" w16cid:durableId="5AF06E9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64E12E" w14:textId="77777777" w:rsidR="000307B4" w:rsidRDefault="000307B4">
      <w:r>
        <w:separator/>
      </w:r>
    </w:p>
  </w:endnote>
  <w:endnote w:type="continuationSeparator" w:id="0">
    <w:p w14:paraId="5DB42ED3" w14:textId="77777777" w:rsidR="000307B4" w:rsidRDefault="000307B4">
      <w:r>
        <w:continuationSeparator/>
      </w:r>
    </w:p>
  </w:endnote>
  <w:endnote w:type="continuationNotice" w:id="1">
    <w:p w14:paraId="02BE38D3" w14:textId="77777777" w:rsidR="000307B4" w:rsidRDefault="000307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ele-GroteskEENor">
    <w:altName w:val="Times New Roman"/>
    <w:charset w:val="EE"/>
    <w:family w:val="auto"/>
    <w:pitch w:val="variable"/>
    <w:sig w:usb0="800000AF" w:usb1="0000204B" w:usb2="00000000" w:usb3="00000000" w:csb0="0000009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3625548"/>
      <w:docPartObj>
        <w:docPartGallery w:val="Page Numbers (Bottom of Page)"/>
        <w:docPartUnique/>
      </w:docPartObj>
    </w:sdtPr>
    <w:sdtEndPr>
      <w:rPr>
        <w:noProof/>
      </w:rPr>
    </w:sdtEndPr>
    <w:sdtContent>
      <w:p w14:paraId="42EB1B91" w14:textId="36D93B17" w:rsidR="00E530A9" w:rsidRDefault="00E530A9">
        <w:pPr>
          <w:pStyle w:val="Footer"/>
          <w:jc w:val="right"/>
        </w:pPr>
        <w:r>
          <w:fldChar w:fldCharType="begin"/>
        </w:r>
        <w:r>
          <w:instrText xml:space="preserve"> PAGE   \* MERGEFORMAT </w:instrText>
        </w:r>
        <w:r>
          <w:fldChar w:fldCharType="separate"/>
        </w:r>
        <w:r w:rsidR="006F5DEB">
          <w:rPr>
            <w:noProof/>
          </w:rPr>
          <w:t>7</w:t>
        </w:r>
        <w:r>
          <w:rPr>
            <w:noProof/>
          </w:rPr>
          <w:fldChar w:fldCharType="end"/>
        </w:r>
      </w:p>
    </w:sdtContent>
  </w:sdt>
  <w:p w14:paraId="508D69A9" w14:textId="77777777" w:rsidR="00E530A9" w:rsidRDefault="00E530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4957"/>
      <w:gridCol w:w="3720"/>
      <w:gridCol w:w="951"/>
    </w:tblGrid>
    <w:tr w:rsidR="00E530A9" w14:paraId="1CE9EA7C" w14:textId="77777777" w:rsidTr="004D7F3C">
      <w:trPr>
        <w:trHeight w:val="886"/>
        <w:jc w:val="right"/>
      </w:trPr>
      <w:tc>
        <w:tcPr>
          <w:tcW w:w="4957" w:type="dxa"/>
        </w:tcPr>
        <w:p w14:paraId="78D1A5B8" w14:textId="77777777" w:rsidR="00E530A9" w:rsidRPr="00BB5D88" w:rsidRDefault="00E530A9" w:rsidP="00BC0BF0">
          <w:pPr>
            <w:pStyle w:val="Footer"/>
            <w:spacing w:line="324" w:lineRule="auto"/>
            <w:jc w:val="right"/>
            <w:rPr>
              <w:rFonts w:ascii="Corbel" w:hAnsi="Corbel"/>
              <w:sz w:val="20"/>
            </w:rPr>
          </w:pPr>
        </w:p>
      </w:tc>
      <w:tc>
        <w:tcPr>
          <w:tcW w:w="3720" w:type="dxa"/>
          <w:vAlign w:val="bottom"/>
        </w:tcPr>
        <w:p w14:paraId="1DCF748A" w14:textId="77777777" w:rsidR="00E530A9" w:rsidRPr="00BB5D88" w:rsidRDefault="00E530A9" w:rsidP="005E1A88">
          <w:pPr>
            <w:pStyle w:val="Footer"/>
            <w:spacing w:line="240" w:lineRule="auto"/>
            <w:jc w:val="right"/>
            <w:rPr>
              <w:rFonts w:ascii="Corbel" w:hAnsi="Corbel"/>
              <w:sz w:val="20"/>
            </w:rPr>
          </w:pPr>
          <w:r w:rsidRPr="00BB5D88">
            <w:rPr>
              <w:rFonts w:ascii="Corbel" w:hAnsi="Corbel"/>
              <w:sz w:val="20"/>
            </w:rPr>
            <w:t>Ulica Roberta Frangeša-Mihanovića 9</w:t>
          </w:r>
        </w:p>
        <w:p w14:paraId="3AB68CCD" w14:textId="77777777" w:rsidR="00E530A9" w:rsidRPr="00BB5D88" w:rsidRDefault="00E530A9" w:rsidP="005E1A88">
          <w:pPr>
            <w:pStyle w:val="Footer"/>
            <w:spacing w:line="240" w:lineRule="auto"/>
            <w:jc w:val="right"/>
            <w:rPr>
              <w:rFonts w:ascii="Corbel" w:hAnsi="Corbel"/>
              <w:sz w:val="20"/>
            </w:rPr>
          </w:pPr>
          <w:r w:rsidRPr="00BB5D88">
            <w:rPr>
              <w:rFonts w:ascii="Corbel" w:hAnsi="Corbel"/>
              <w:sz w:val="20"/>
            </w:rPr>
            <w:t>10110 Zagreb</w:t>
          </w:r>
        </w:p>
        <w:p w14:paraId="084476EF" w14:textId="77777777" w:rsidR="00E530A9" w:rsidRPr="00BB5D88" w:rsidRDefault="00E530A9" w:rsidP="005E1A88">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14:paraId="459355DD" w14:textId="77777777" w:rsidR="00E530A9" w:rsidRDefault="00E530A9" w:rsidP="005E1A88">
          <w:pPr>
            <w:pStyle w:val="Footer"/>
            <w:spacing w:line="240" w:lineRule="auto"/>
            <w:jc w:val="right"/>
          </w:pPr>
          <w:r w:rsidRPr="00BB5D88">
            <w:rPr>
              <w:rFonts w:ascii="Corbel" w:hAnsi="Corbel"/>
              <w:sz w:val="20"/>
            </w:rPr>
            <w:t>www.hakom.hr</w:t>
          </w:r>
        </w:p>
      </w:tc>
      <w:tc>
        <w:tcPr>
          <w:tcW w:w="951" w:type="dxa"/>
          <w:vAlign w:val="bottom"/>
        </w:tcPr>
        <w:p w14:paraId="4051CB1D" w14:textId="77777777" w:rsidR="00E530A9" w:rsidRPr="007F6A99" w:rsidRDefault="00E530A9" w:rsidP="00BC0BF0">
          <w:pPr>
            <w:pStyle w:val="Footer"/>
            <w:spacing w:line="324" w:lineRule="auto"/>
            <w:jc w:val="right"/>
            <w:rPr>
              <w:sz w:val="18"/>
              <w:szCs w:val="18"/>
            </w:rPr>
          </w:pPr>
          <w:r>
            <w:rPr>
              <w:noProof/>
            </w:rPr>
            <w:drawing>
              <wp:anchor distT="0" distB="0" distL="114300" distR="114300" simplePos="0" relativeHeight="251658240" behindDoc="0" locked="0" layoutInCell="1" allowOverlap="1" wp14:anchorId="4D1E4C9A" wp14:editId="1E6D8C2F">
                <wp:simplePos x="0" y="0"/>
                <wp:positionH relativeFrom="column">
                  <wp:posOffset>8255</wp:posOffset>
                </wp:positionH>
                <wp:positionV relativeFrom="paragraph">
                  <wp:posOffset>-443230</wp:posOffset>
                </wp:positionV>
                <wp:extent cx="607060" cy="588645"/>
                <wp:effectExtent l="0" t="0" r="2540"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14:paraId="54D54D72" w14:textId="77777777" w:rsidR="00E530A9" w:rsidRPr="001F6C72" w:rsidRDefault="00E530A9" w:rsidP="00BC0BF0">
    <w:pPr>
      <w:pStyle w:val="Foote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5309994"/>
      <w:docPartObj>
        <w:docPartGallery w:val="Page Numbers (Bottom of Page)"/>
        <w:docPartUnique/>
      </w:docPartObj>
    </w:sdtPr>
    <w:sdtEndPr>
      <w:rPr>
        <w:noProof/>
      </w:rPr>
    </w:sdtEndPr>
    <w:sdtContent>
      <w:p w14:paraId="1434FA93" w14:textId="3998E554" w:rsidR="00E530A9" w:rsidRDefault="00E530A9">
        <w:pPr>
          <w:pStyle w:val="Footer"/>
          <w:jc w:val="right"/>
        </w:pPr>
        <w:r>
          <w:fldChar w:fldCharType="begin"/>
        </w:r>
        <w:r>
          <w:instrText xml:space="preserve"> PAGE   \* MERGEFORMAT </w:instrText>
        </w:r>
        <w:r>
          <w:fldChar w:fldCharType="separate"/>
        </w:r>
        <w:r w:rsidR="00D61460">
          <w:rPr>
            <w:noProof/>
          </w:rPr>
          <w:t>12</w:t>
        </w:r>
        <w:r>
          <w:rPr>
            <w:noProof/>
          </w:rPr>
          <w:fldChar w:fldCharType="end"/>
        </w:r>
      </w:p>
    </w:sdtContent>
  </w:sdt>
  <w:p w14:paraId="0303AAB0" w14:textId="2E87FEEC" w:rsidR="00E530A9" w:rsidRPr="001F6C72" w:rsidRDefault="00E530A9" w:rsidP="00027966">
    <w:pPr>
      <w:pStyle w:val="Footer"/>
      <w:tabs>
        <w:tab w:val="clear" w:pos="4320"/>
        <w:tab w:val="clear" w:pos="8640"/>
        <w:tab w:val="left" w:pos="8790"/>
      </w:tabs>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334057" w14:textId="77777777" w:rsidR="000307B4" w:rsidRDefault="000307B4">
      <w:r>
        <w:separator/>
      </w:r>
    </w:p>
  </w:footnote>
  <w:footnote w:type="continuationSeparator" w:id="0">
    <w:p w14:paraId="49A10185" w14:textId="77777777" w:rsidR="000307B4" w:rsidRDefault="000307B4">
      <w:r>
        <w:continuationSeparator/>
      </w:r>
    </w:p>
  </w:footnote>
  <w:footnote w:type="continuationNotice" w:id="1">
    <w:p w14:paraId="423F2545" w14:textId="77777777" w:rsidR="000307B4" w:rsidRDefault="000307B4"/>
  </w:footnote>
  <w:footnote w:id="2">
    <w:p w14:paraId="2E7DF9AF" w14:textId="77777777" w:rsidR="00E530A9" w:rsidRPr="00D728CA" w:rsidRDefault="00E530A9" w:rsidP="00BD3718">
      <w:pPr>
        <w:pStyle w:val="FootnoteText"/>
        <w:rPr>
          <w:rFonts w:ascii="Times New Roman" w:hAnsi="Times New Roman" w:cs="Times New Roman"/>
          <w:lang w:val="en-GB"/>
        </w:rPr>
      </w:pPr>
      <w:r w:rsidRPr="00D728CA">
        <w:rPr>
          <w:rStyle w:val="FootnoteReference"/>
          <w:rFonts w:ascii="Times New Roman" w:hAnsi="Times New Roman" w:cs="Times New Roman"/>
        </w:rPr>
        <w:footnoteRef/>
      </w:r>
      <w:r w:rsidRPr="00D728CA">
        <w:rPr>
          <w:rFonts w:ascii="Times New Roman" w:hAnsi="Times New Roman" w:cs="Times New Roman"/>
        </w:rPr>
        <w:t xml:space="preserve"> </w:t>
      </w:r>
      <w:r w:rsidRPr="00B00F51">
        <w:rPr>
          <w:rFonts w:ascii="Times New Roman" w:hAnsi="Times New Roman" w:cs="Times New Roman"/>
        </w:rPr>
        <w:t xml:space="preserve">13.272.280,84 EUR; </w:t>
      </w:r>
      <w:r w:rsidRPr="00B00D91">
        <w:rPr>
          <w:rFonts w:ascii="Times New Roman" w:hAnsi="Times New Roman" w:cs="Times New Roman"/>
        </w:rPr>
        <w:t>fiksni tečaj konverzije: 7,53450 HRK</w:t>
      </w:r>
    </w:p>
  </w:footnote>
  <w:footnote w:id="3">
    <w:p w14:paraId="31E07C20" w14:textId="77777777" w:rsidR="00E530A9" w:rsidRPr="00B00F51" w:rsidRDefault="00E530A9" w:rsidP="00BD3718">
      <w:pPr>
        <w:pStyle w:val="FootnoteText"/>
        <w:rPr>
          <w:rFonts w:ascii="Times New Roman" w:hAnsi="Times New Roman" w:cs="Times New Roman"/>
          <w:lang w:val="en-US"/>
        </w:rPr>
      </w:pPr>
      <w:r w:rsidRPr="00B00F51">
        <w:rPr>
          <w:rStyle w:val="FootnoteReference"/>
          <w:rFonts w:ascii="Times New Roman" w:hAnsi="Times New Roman" w:cs="Times New Roman"/>
        </w:rPr>
        <w:footnoteRef/>
      </w:r>
      <w:r w:rsidRPr="00B00F51">
        <w:rPr>
          <w:rFonts w:ascii="Times New Roman" w:hAnsi="Times New Roman" w:cs="Times New Roman"/>
        </w:rPr>
        <w:t xml:space="preserve"> </w:t>
      </w:r>
      <w:r w:rsidRPr="00B00F51">
        <w:rPr>
          <w:rFonts w:ascii="Times New Roman" w:hAnsi="Times New Roman" w:cs="Times New Roman"/>
          <w:lang w:val="en-US"/>
        </w:rPr>
        <w:t>Odluka HAKOM-a od 27. srpnja 2023. (KLASA: UP/I-344-01/22-03/03, URBROJ: 376-05-1-23-26)</w:t>
      </w:r>
    </w:p>
  </w:footnote>
  <w:footnote w:id="4">
    <w:p w14:paraId="0C06B165" w14:textId="77777777" w:rsidR="00E530A9" w:rsidRPr="00B00F51" w:rsidRDefault="00E530A9" w:rsidP="00BD3718">
      <w:pPr>
        <w:pStyle w:val="FootnoteText"/>
        <w:rPr>
          <w:rFonts w:ascii="Times New Roman" w:hAnsi="Times New Roman" w:cs="Times New Roman"/>
          <w:lang w:val="en-US"/>
        </w:rPr>
      </w:pPr>
      <w:r w:rsidRPr="00B00F51">
        <w:rPr>
          <w:rStyle w:val="FootnoteReference"/>
          <w:rFonts w:ascii="Times New Roman" w:hAnsi="Times New Roman" w:cs="Times New Roman"/>
        </w:rPr>
        <w:footnoteRef/>
      </w:r>
      <w:r w:rsidRPr="00B00F51">
        <w:rPr>
          <w:rFonts w:ascii="Times New Roman" w:hAnsi="Times New Roman" w:cs="Times New Roman"/>
        </w:rPr>
        <w:t xml:space="preserve"> </w:t>
      </w:r>
      <w:r w:rsidRPr="00B00F51">
        <w:rPr>
          <w:rFonts w:ascii="Times New Roman" w:hAnsi="Times New Roman" w:cs="Times New Roman"/>
          <w:lang w:val="en-US"/>
        </w:rPr>
        <w:t>Odluka HAKOM-a od 27. srpnja 2023.</w:t>
      </w:r>
      <w:r w:rsidRPr="00B00F51">
        <w:rPr>
          <w:rFonts w:ascii="Times New Roman" w:hAnsi="Times New Roman" w:cs="Times New Roman"/>
        </w:rPr>
        <w:t xml:space="preserve"> (KLASA: UP/I-344-01/22-03/04, URBROJ: 376-05-1-23-41)</w:t>
      </w:r>
    </w:p>
  </w:footnote>
  <w:footnote w:id="5">
    <w:p w14:paraId="06837153" w14:textId="77777777" w:rsidR="00E530A9" w:rsidRPr="00890586" w:rsidRDefault="00E530A9" w:rsidP="001F7A1E">
      <w:pPr>
        <w:pStyle w:val="FootnoteText"/>
        <w:rPr>
          <w:lang w:val="en-GB"/>
        </w:rPr>
      </w:pPr>
      <w:r>
        <w:rPr>
          <w:rStyle w:val="FootnoteReference"/>
        </w:rPr>
        <w:footnoteRef/>
      </w:r>
      <w:r>
        <w:t xml:space="preserve"> </w:t>
      </w:r>
      <w:r w:rsidRPr="00890586">
        <w:rPr>
          <w:rFonts w:ascii="Times New Roman" w:hAnsi="Times New Roman" w:cs="Times New Roman"/>
          <w:lang w:val="en-GB"/>
        </w:rPr>
        <w:t>Podaci HAKOM-a iz ožujka 2026.</w:t>
      </w:r>
    </w:p>
  </w:footnote>
  <w:footnote w:id="6">
    <w:p w14:paraId="77D01407" w14:textId="46A57BE6" w:rsidR="00E530A9" w:rsidRPr="00B00F51" w:rsidRDefault="00E530A9" w:rsidP="00BD3718">
      <w:pPr>
        <w:pStyle w:val="FootnoteText"/>
        <w:jc w:val="both"/>
        <w:rPr>
          <w:rFonts w:ascii="Times New Roman" w:hAnsi="Times New Roman" w:cs="Times New Roman"/>
          <w:lang w:val="en-GB"/>
        </w:rPr>
      </w:pPr>
      <w:r w:rsidRPr="00B00F51">
        <w:rPr>
          <w:rStyle w:val="FootnoteReference"/>
          <w:rFonts w:ascii="Times New Roman" w:hAnsi="Times New Roman" w:cs="Times New Roman"/>
        </w:rPr>
        <w:footnoteRef/>
      </w:r>
      <w:r w:rsidRPr="00B00F51">
        <w:rPr>
          <w:rFonts w:ascii="Times New Roman" w:hAnsi="Times New Roman" w:cs="Times New Roman"/>
        </w:rPr>
        <w:t xml:space="preserve"> </w:t>
      </w:r>
      <w:r w:rsidRPr="00B00F51">
        <w:rPr>
          <w:rFonts w:ascii="Times New Roman" w:hAnsi="Times New Roman" w:cs="Times New Roman"/>
          <w:lang w:val="en-GB"/>
        </w:rPr>
        <w:t>Podaci korišteni u odlukama HAKOM-a kojima je ažuriran popis nekonkurentnih područja i popis konkurentnih područja te revidiran status pripadanja geografskih jedinica odgovarajućem području (analiza M1/2020 -</w:t>
      </w:r>
      <w:r w:rsidRPr="00B00F51">
        <w:rPr>
          <w:rFonts w:ascii="Times New Roman" w:hAnsi="Times New Roman" w:cs="Times New Roman"/>
        </w:rPr>
        <w:t xml:space="preserve"> </w:t>
      </w:r>
      <w:r w:rsidRPr="00B00F51">
        <w:rPr>
          <w:rFonts w:ascii="Times New Roman" w:hAnsi="Times New Roman" w:cs="Times New Roman"/>
          <w:lang w:val="en-GB"/>
        </w:rPr>
        <w:t>KLASA: UP/I-344-01/25-03/02, URBROJ: 376-05-1-25-07; analiza M3b/2014 -</w:t>
      </w:r>
      <w:r w:rsidRPr="00B00F51">
        <w:rPr>
          <w:rFonts w:ascii="Times New Roman" w:hAnsi="Times New Roman" w:cs="Times New Roman"/>
        </w:rPr>
        <w:t xml:space="preserve"> </w:t>
      </w:r>
      <w:r w:rsidRPr="006A7D8E">
        <w:rPr>
          <w:rFonts w:ascii="Times New Roman" w:hAnsi="Times New Roman" w:cs="Times New Roman"/>
          <w:lang w:val="en-GB"/>
        </w:rPr>
        <w:t>KLASA: UP/I-344-01/25-03/01, URBROJ: 376-05-1-25-09; dalje: odluke o reviziji područja).</w:t>
      </w:r>
    </w:p>
  </w:footnote>
  <w:footnote w:id="7">
    <w:p w14:paraId="1FD1FD3D" w14:textId="77777777" w:rsidR="00E530A9" w:rsidRPr="00B00F51" w:rsidRDefault="00E530A9" w:rsidP="00170039">
      <w:pPr>
        <w:pStyle w:val="FootnoteText"/>
        <w:jc w:val="both"/>
        <w:rPr>
          <w:rFonts w:ascii="Times New Roman" w:hAnsi="Times New Roman" w:cs="Times New Roman"/>
          <w:lang w:val="en-US"/>
        </w:rPr>
      </w:pPr>
      <w:r w:rsidRPr="00B00F51">
        <w:rPr>
          <w:rStyle w:val="FootnoteReference"/>
          <w:rFonts w:ascii="Times New Roman" w:hAnsi="Times New Roman" w:cs="Times New Roman"/>
        </w:rPr>
        <w:footnoteRef/>
      </w:r>
      <w:r w:rsidRPr="00B00F51">
        <w:rPr>
          <w:rFonts w:ascii="Times New Roman" w:hAnsi="Times New Roman" w:cs="Times New Roman"/>
        </w:rPr>
        <w:t xml:space="preserve"> Prema podacima </w:t>
      </w:r>
      <w:r w:rsidRPr="006A7D8E">
        <w:rPr>
          <w:rFonts w:ascii="Times New Roman" w:hAnsi="Times New Roman" w:cs="Times New Roman"/>
        </w:rPr>
        <w:t xml:space="preserve">iz odluka o reviziji područja, preko 98 posto svih veleprodajnih priključaka na nekonkurentnim područjima alternativni operatori ostvaruju putem bitstream usluga, od </w:t>
      </w:r>
      <w:r w:rsidRPr="00B00F51">
        <w:rPr>
          <w:rFonts w:ascii="Times New Roman" w:hAnsi="Times New Roman" w:cs="Times New Roman"/>
        </w:rPr>
        <w:t>kojih je HT-ova bitstream usluga daleko najznačajnija s preko 84 posto aktivnih bitstream priključaka.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9420" w14:textId="77777777" w:rsidR="00E530A9" w:rsidRDefault="00E530A9"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A0E8D" w14:textId="54159676" w:rsidR="00E530A9" w:rsidRPr="008E79ED" w:rsidRDefault="00E530A9" w:rsidP="00BC0BF0">
    <w:pPr>
      <w:pStyle w:val="Header"/>
      <w:tabs>
        <w:tab w:val="clear" w:pos="4536"/>
        <w:tab w:val="clear" w:pos="9072"/>
      </w:tabs>
      <w:ind w:right="-340"/>
      <w:rPr>
        <w:b/>
        <w:sz w:val="22"/>
        <w:szCs w:val="22"/>
      </w:rPr>
    </w:pPr>
    <w:r>
      <w:rPr>
        <w:b/>
        <w:sz w:val="22"/>
        <w:szCs w:val="22"/>
      </w:rPr>
      <w:t xml:space="preserve">                      </w:t>
    </w:r>
    <w:r>
      <w:rPr>
        <w:noProof/>
      </w:rPr>
      <w:drawing>
        <wp:inline distT="0" distB="0" distL="0" distR="0" wp14:anchorId="55A29820" wp14:editId="59B2DF90">
          <wp:extent cx="512619" cy="682808"/>
          <wp:effectExtent l="0" t="0" r="190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r>
      <w:rPr>
        <w:b/>
        <w:sz w:val="22"/>
        <w:szCs w:val="22"/>
      </w:rPr>
      <w:br/>
    </w:r>
    <w:r>
      <w:br/>
    </w:r>
    <w:r>
      <w:rPr>
        <w:b/>
        <w:noProof/>
        <w:sz w:val="22"/>
        <w:szCs w:val="22"/>
      </w:rPr>
      <w:drawing>
        <wp:inline distT="0" distB="0" distL="0" distR="0" wp14:anchorId="3E376C48" wp14:editId="29DE905F">
          <wp:extent cx="2033253" cy="460939"/>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DB70AF" w14:textId="37C6E3D9" w:rsidR="00E530A9" w:rsidRPr="00064BD8" w:rsidRDefault="00E530A9" w:rsidP="00064BD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30EE0"/>
    <w:multiLevelType w:val="hybridMultilevel"/>
    <w:tmpl w:val="9E68A1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144CC2"/>
    <w:multiLevelType w:val="hybridMultilevel"/>
    <w:tmpl w:val="07BAA4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4511106"/>
    <w:multiLevelType w:val="hybridMultilevel"/>
    <w:tmpl w:val="961EAC8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B7277C"/>
    <w:multiLevelType w:val="hybridMultilevel"/>
    <w:tmpl w:val="02641F7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205C145F"/>
    <w:multiLevelType w:val="hybridMultilevel"/>
    <w:tmpl w:val="5B5EB14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335DAB"/>
    <w:multiLevelType w:val="hybridMultilevel"/>
    <w:tmpl w:val="CED0B8B0"/>
    <w:lvl w:ilvl="0" w:tplc="041A0013">
      <w:start w:val="1"/>
      <w:numFmt w:val="upperRoman"/>
      <w:lvlText w:val="%1."/>
      <w:lvlJc w:val="right"/>
      <w:pPr>
        <w:tabs>
          <w:tab w:val="num" w:pos="1080"/>
        </w:tabs>
        <w:ind w:left="1080" w:hanging="720"/>
      </w:pPr>
      <w:rPr>
        <w:rFonts w:hint="default"/>
      </w:rPr>
    </w:lvl>
    <w:lvl w:ilvl="1" w:tplc="04090017">
      <w:start w:val="1"/>
      <w:numFmt w:val="lowerLetter"/>
      <w:lvlText w:val="%2)"/>
      <w:lvlJc w:val="left"/>
      <w:pPr>
        <w:ind w:left="1440" w:hanging="360"/>
      </w:pPr>
    </w:lvl>
    <w:lvl w:ilvl="2" w:tplc="04090017">
      <w:start w:val="1"/>
      <w:numFmt w:val="lowerLetter"/>
      <w:lvlText w:val="%3)"/>
      <w:lvlJc w:val="left"/>
      <w:pPr>
        <w:ind w:left="2340" w:hanging="360"/>
      </w:pPr>
      <w:rPr>
        <w:rFonts w:hint="default"/>
      </w:rPr>
    </w:lvl>
    <w:lvl w:ilvl="3" w:tplc="4BE0257E">
      <w:start w:val="1"/>
      <w:numFmt w:val="bullet"/>
      <w:lvlText w:val="-"/>
      <w:lvlJc w:val="left"/>
      <w:pPr>
        <w:ind w:left="1779" w:hanging="360"/>
      </w:pPr>
      <w:rPr>
        <w:rFonts w:ascii="Times New Roman" w:eastAsia="Times New Roman" w:hAnsi="Times New Roman" w:cs="Times New Roman" w:hint="default"/>
      </w:rPr>
    </w:lvl>
    <w:lvl w:ilvl="4" w:tplc="B7CCB780">
      <w:start w:val="1"/>
      <w:numFmt w:val="decimal"/>
      <w:lvlText w:val="%5."/>
      <w:lvlJc w:val="left"/>
      <w:pPr>
        <w:ind w:left="3600" w:hanging="360"/>
      </w:pPr>
      <w:rPr>
        <w:rFonts w:hint="default"/>
      </w:r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2506194"/>
    <w:multiLevelType w:val="hybridMultilevel"/>
    <w:tmpl w:val="55CCFE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AC11EA"/>
    <w:multiLevelType w:val="hybridMultilevel"/>
    <w:tmpl w:val="03367D4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4E4982"/>
    <w:multiLevelType w:val="hybridMultilevel"/>
    <w:tmpl w:val="A26EFB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5430F2"/>
    <w:multiLevelType w:val="hybridMultilevel"/>
    <w:tmpl w:val="DF3235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DE71CB"/>
    <w:multiLevelType w:val="hybridMultilevel"/>
    <w:tmpl w:val="817875F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38EC7418"/>
    <w:multiLevelType w:val="hybridMultilevel"/>
    <w:tmpl w:val="150AA7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FE2171"/>
    <w:multiLevelType w:val="multilevel"/>
    <w:tmpl w:val="23BC4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3A18B7"/>
    <w:multiLevelType w:val="hybridMultilevel"/>
    <w:tmpl w:val="CA50F70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457A136D"/>
    <w:multiLevelType w:val="hybridMultilevel"/>
    <w:tmpl w:val="6AE0B550"/>
    <w:lvl w:ilvl="0" w:tplc="04090019">
      <w:start w:val="1"/>
      <w:numFmt w:val="lowerLetter"/>
      <w:lvlText w:val="%1."/>
      <w:lvlJc w:val="left"/>
      <w:pPr>
        <w:ind w:left="720" w:hanging="360"/>
      </w:pPr>
    </w:lvl>
    <w:lvl w:ilvl="1" w:tplc="9372FAE8">
      <w:numFmt w:val="bullet"/>
      <w:lvlText w:val="-"/>
      <w:lvlJc w:val="left"/>
      <w:pPr>
        <w:ind w:left="1495" w:hanging="360"/>
      </w:pPr>
      <w:rPr>
        <w:rFonts w:ascii="Arial Narrow" w:eastAsia="Calibri" w:hAnsi="Arial Narrow" w:cs="Times New Roman" w:hint="default"/>
      </w:rPr>
    </w:lvl>
    <w:lvl w:ilvl="2" w:tplc="041A001B">
      <w:start w:val="1"/>
      <w:numFmt w:val="lowerRoman"/>
      <w:lvlText w:val="%3."/>
      <w:lvlJc w:val="right"/>
      <w:pPr>
        <w:ind w:left="2160" w:hanging="180"/>
      </w:pPr>
    </w:lvl>
    <w:lvl w:ilvl="3" w:tplc="041A0001">
      <w:start w:val="1"/>
      <w:numFmt w:val="bullet"/>
      <w:lvlText w:val=""/>
      <w:lvlJc w:val="left"/>
      <w:pPr>
        <w:ind w:left="2880" w:hanging="360"/>
      </w:pPr>
      <w:rPr>
        <w:rFonts w:ascii="Symbol" w:hAnsi="Symbol" w:hint="default"/>
      </w:r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4ACA6F62"/>
    <w:multiLevelType w:val="hybridMultilevel"/>
    <w:tmpl w:val="BAC0E1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5818EE"/>
    <w:multiLevelType w:val="hybridMultilevel"/>
    <w:tmpl w:val="54026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A17A84"/>
    <w:multiLevelType w:val="hybridMultilevel"/>
    <w:tmpl w:val="FB8A749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3A78B8"/>
    <w:multiLevelType w:val="hybridMultilevel"/>
    <w:tmpl w:val="B8CE43A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314B0F"/>
    <w:multiLevelType w:val="hybridMultilevel"/>
    <w:tmpl w:val="62F60AFA"/>
    <w:lvl w:ilvl="0" w:tplc="9892A49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68F018EE"/>
    <w:multiLevelType w:val="hybridMultilevel"/>
    <w:tmpl w:val="46326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BF7CAA"/>
    <w:multiLevelType w:val="hybridMultilevel"/>
    <w:tmpl w:val="D320F752"/>
    <w:lvl w:ilvl="0" w:tplc="041A0019">
      <w:start w:val="1"/>
      <w:numFmt w:val="lowerLetter"/>
      <w:lvlText w:val="%1."/>
      <w:lvlJc w:val="left"/>
      <w:pPr>
        <w:ind w:left="1800" w:hanging="360"/>
      </w:p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tentative="1">
      <w:start w:val="1"/>
      <w:numFmt w:val="decimal"/>
      <w:lvlText w:val="%4."/>
      <w:lvlJc w:val="left"/>
      <w:pPr>
        <w:ind w:left="396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22" w15:restartNumberingAfterBreak="0">
    <w:nsid w:val="6BEA35F0"/>
    <w:multiLevelType w:val="hybridMultilevel"/>
    <w:tmpl w:val="5718A53A"/>
    <w:lvl w:ilvl="0" w:tplc="041A000F">
      <w:start w:val="1"/>
      <w:numFmt w:val="decimal"/>
      <w:lvlText w:val="%1."/>
      <w:lvlJc w:val="left"/>
      <w:pPr>
        <w:ind w:left="720" w:hanging="360"/>
      </w:pPr>
      <w:rPr>
        <w:rFonts w:hint="default"/>
        <w:u w:val="none"/>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6E2E2EB0"/>
    <w:multiLevelType w:val="hybridMultilevel"/>
    <w:tmpl w:val="CC4E7190"/>
    <w:lvl w:ilvl="0" w:tplc="041A000F">
      <w:start w:val="1"/>
      <w:numFmt w:val="decimal"/>
      <w:lvlText w:val="%1."/>
      <w:lvlJc w:val="left"/>
      <w:pPr>
        <w:ind w:left="720" w:hanging="360"/>
      </w:pPr>
      <w:rPr>
        <w:rFonts w:hint="default"/>
        <w:u w:val="none"/>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6EB32242"/>
    <w:multiLevelType w:val="hybridMultilevel"/>
    <w:tmpl w:val="EDDA807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36B29E9"/>
    <w:multiLevelType w:val="hybridMultilevel"/>
    <w:tmpl w:val="1C94A9BC"/>
    <w:lvl w:ilvl="0" w:tplc="04090019">
      <w:start w:val="1"/>
      <w:numFmt w:val="lowerLetter"/>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776F41EE"/>
    <w:multiLevelType w:val="hybridMultilevel"/>
    <w:tmpl w:val="25907A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985148"/>
    <w:multiLevelType w:val="hybridMultilevel"/>
    <w:tmpl w:val="D3C00712"/>
    <w:lvl w:ilvl="0" w:tplc="8F38DDF4">
      <w:start w:val="1"/>
      <w:numFmt w:val="decimal"/>
      <w:lvlText w:val="%1."/>
      <w:lvlJc w:val="left"/>
      <w:pPr>
        <w:ind w:left="720" w:hanging="360"/>
      </w:pPr>
      <w:rPr>
        <w:rFonts w:ascii="Times New Roman" w:hAnsi="Times New Roman" w:cs="Times New Roman"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77C91FEB"/>
    <w:multiLevelType w:val="hybridMultilevel"/>
    <w:tmpl w:val="461064B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78CC6ABB"/>
    <w:multiLevelType w:val="hybridMultilevel"/>
    <w:tmpl w:val="A902357A"/>
    <w:lvl w:ilvl="0" w:tplc="041A0001">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30" w15:restartNumberingAfterBreak="0">
    <w:nsid w:val="7AE20D2D"/>
    <w:multiLevelType w:val="hybridMultilevel"/>
    <w:tmpl w:val="6736E67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013563"/>
    <w:multiLevelType w:val="hybridMultilevel"/>
    <w:tmpl w:val="CB4473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EBF3990"/>
    <w:multiLevelType w:val="hybridMultilevel"/>
    <w:tmpl w:val="035C56D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13"/>
  </w:num>
  <w:num w:numId="4">
    <w:abstractNumId w:val="16"/>
  </w:num>
  <w:num w:numId="5">
    <w:abstractNumId w:val="28"/>
  </w:num>
  <w:num w:numId="6">
    <w:abstractNumId w:val="31"/>
  </w:num>
  <w:num w:numId="7">
    <w:abstractNumId w:val="21"/>
  </w:num>
  <w:num w:numId="8">
    <w:abstractNumId w:val="23"/>
  </w:num>
  <w:num w:numId="9">
    <w:abstractNumId w:val="22"/>
  </w:num>
  <w:num w:numId="10">
    <w:abstractNumId w:val="6"/>
  </w:num>
  <w:num w:numId="11">
    <w:abstractNumId w:val="0"/>
  </w:num>
  <w:num w:numId="12">
    <w:abstractNumId w:val="4"/>
  </w:num>
  <w:num w:numId="13">
    <w:abstractNumId w:val="17"/>
  </w:num>
  <w:num w:numId="14">
    <w:abstractNumId w:val="11"/>
  </w:num>
  <w:num w:numId="15">
    <w:abstractNumId w:val="2"/>
  </w:num>
  <w:num w:numId="16">
    <w:abstractNumId w:val="18"/>
  </w:num>
  <w:num w:numId="17">
    <w:abstractNumId w:val="15"/>
  </w:num>
  <w:num w:numId="18">
    <w:abstractNumId w:val="12"/>
  </w:num>
  <w:num w:numId="19">
    <w:abstractNumId w:val="7"/>
  </w:num>
  <w:num w:numId="20">
    <w:abstractNumId w:val="30"/>
  </w:num>
  <w:num w:numId="21">
    <w:abstractNumId w:val="24"/>
  </w:num>
  <w:num w:numId="22">
    <w:abstractNumId w:val="8"/>
  </w:num>
  <w:num w:numId="23">
    <w:abstractNumId w:val="9"/>
  </w:num>
  <w:num w:numId="24">
    <w:abstractNumId w:val="5"/>
  </w:num>
  <w:num w:numId="25">
    <w:abstractNumId w:val="27"/>
  </w:num>
  <w:num w:numId="26">
    <w:abstractNumId w:val="25"/>
  </w:num>
  <w:num w:numId="27">
    <w:abstractNumId w:val="14"/>
  </w:num>
  <w:num w:numId="28">
    <w:abstractNumId w:val="29"/>
  </w:num>
  <w:num w:numId="29">
    <w:abstractNumId w:val="26"/>
  </w:num>
  <w:num w:numId="30">
    <w:abstractNumId w:val="20"/>
  </w:num>
  <w:num w:numId="31">
    <w:abstractNumId w:val="32"/>
  </w:num>
  <w:num w:numId="32">
    <w:abstractNumId w:val="1"/>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6145">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13C1"/>
    <w:rsid w:val="00001B9E"/>
    <w:rsid w:val="00001D39"/>
    <w:rsid w:val="00002673"/>
    <w:rsid w:val="000048AE"/>
    <w:rsid w:val="000048E3"/>
    <w:rsid w:val="00005CB8"/>
    <w:rsid w:val="00007B5A"/>
    <w:rsid w:val="00007CE0"/>
    <w:rsid w:val="0001018E"/>
    <w:rsid w:val="000105BE"/>
    <w:rsid w:val="00010CEE"/>
    <w:rsid w:val="000140E0"/>
    <w:rsid w:val="000150D1"/>
    <w:rsid w:val="00015C58"/>
    <w:rsid w:val="00017189"/>
    <w:rsid w:val="000200E1"/>
    <w:rsid w:val="000200F4"/>
    <w:rsid w:val="00020E8A"/>
    <w:rsid w:val="0002225B"/>
    <w:rsid w:val="000242C0"/>
    <w:rsid w:val="00025083"/>
    <w:rsid w:val="00026F72"/>
    <w:rsid w:val="000275B4"/>
    <w:rsid w:val="00027680"/>
    <w:rsid w:val="00027966"/>
    <w:rsid w:val="000307B4"/>
    <w:rsid w:val="0004097D"/>
    <w:rsid w:val="0004140F"/>
    <w:rsid w:val="000505AC"/>
    <w:rsid w:val="00053D35"/>
    <w:rsid w:val="00054543"/>
    <w:rsid w:val="00057F5A"/>
    <w:rsid w:val="000615E5"/>
    <w:rsid w:val="000620EE"/>
    <w:rsid w:val="0006336A"/>
    <w:rsid w:val="000644C3"/>
    <w:rsid w:val="00064633"/>
    <w:rsid w:val="00064A4F"/>
    <w:rsid w:val="00064BD8"/>
    <w:rsid w:val="000673D3"/>
    <w:rsid w:val="000753EA"/>
    <w:rsid w:val="00084B3A"/>
    <w:rsid w:val="00086200"/>
    <w:rsid w:val="000869D6"/>
    <w:rsid w:val="00086ADA"/>
    <w:rsid w:val="0009012A"/>
    <w:rsid w:val="000903D7"/>
    <w:rsid w:val="000916FD"/>
    <w:rsid w:val="0009255F"/>
    <w:rsid w:val="000940DE"/>
    <w:rsid w:val="000A2208"/>
    <w:rsid w:val="000A38D6"/>
    <w:rsid w:val="000A4C72"/>
    <w:rsid w:val="000A57A5"/>
    <w:rsid w:val="000A5D91"/>
    <w:rsid w:val="000A6794"/>
    <w:rsid w:val="000A6A84"/>
    <w:rsid w:val="000B1255"/>
    <w:rsid w:val="000B1440"/>
    <w:rsid w:val="000B2977"/>
    <w:rsid w:val="000B5B9A"/>
    <w:rsid w:val="000B65B9"/>
    <w:rsid w:val="000C244C"/>
    <w:rsid w:val="000C2E99"/>
    <w:rsid w:val="000C3548"/>
    <w:rsid w:val="000C4706"/>
    <w:rsid w:val="000C48DF"/>
    <w:rsid w:val="000C697A"/>
    <w:rsid w:val="000C6DA4"/>
    <w:rsid w:val="000C7BC3"/>
    <w:rsid w:val="000D32E8"/>
    <w:rsid w:val="000D4045"/>
    <w:rsid w:val="000D5D49"/>
    <w:rsid w:val="000D5E3F"/>
    <w:rsid w:val="000D6359"/>
    <w:rsid w:val="000D6CC8"/>
    <w:rsid w:val="000E3406"/>
    <w:rsid w:val="000E375E"/>
    <w:rsid w:val="000E4A20"/>
    <w:rsid w:val="000E6FCC"/>
    <w:rsid w:val="000F184C"/>
    <w:rsid w:val="000F3659"/>
    <w:rsid w:val="000F4816"/>
    <w:rsid w:val="001021EA"/>
    <w:rsid w:val="00103528"/>
    <w:rsid w:val="00105916"/>
    <w:rsid w:val="00110048"/>
    <w:rsid w:val="0011412A"/>
    <w:rsid w:val="00116C1F"/>
    <w:rsid w:val="00120AA8"/>
    <w:rsid w:val="00121580"/>
    <w:rsid w:val="00122006"/>
    <w:rsid w:val="00124418"/>
    <w:rsid w:val="001252B1"/>
    <w:rsid w:val="0012776D"/>
    <w:rsid w:val="0013019B"/>
    <w:rsid w:val="001322E5"/>
    <w:rsid w:val="0013334C"/>
    <w:rsid w:val="00133EE7"/>
    <w:rsid w:val="0013671B"/>
    <w:rsid w:val="001430A9"/>
    <w:rsid w:val="00145C97"/>
    <w:rsid w:val="00150DD0"/>
    <w:rsid w:val="00156819"/>
    <w:rsid w:val="00161210"/>
    <w:rsid w:val="001618F1"/>
    <w:rsid w:val="0016260E"/>
    <w:rsid w:val="00162D79"/>
    <w:rsid w:val="001657C5"/>
    <w:rsid w:val="00165B16"/>
    <w:rsid w:val="00165B26"/>
    <w:rsid w:val="00165CDE"/>
    <w:rsid w:val="00166541"/>
    <w:rsid w:val="00170039"/>
    <w:rsid w:val="001713F3"/>
    <w:rsid w:val="00172B78"/>
    <w:rsid w:val="00175948"/>
    <w:rsid w:val="00176039"/>
    <w:rsid w:val="00186687"/>
    <w:rsid w:val="00186F3A"/>
    <w:rsid w:val="0019068E"/>
    <w:rsid w:val="00191189"/>
    <w:rsid w:val="001911C4"/>
    <w:rsid w:val="00191590"/>
    <w:rsid w:val="00192D15"/>
    <w:rsid w:val="00192E25"/>
    <w:rsid w:val="001949BF"/>
    <w:rsid w:val="00195D37"/>
    <w:rsid w:val="00197672"/>
    <w:rsid w:val="001A08DC"/>
    <w:rsid w:val="001A592A"/>
    <w:rsid w:val="001A5A32"/>
    <w:rsid w:val="001B04A3"/>
    <w:rsid w:val="001B10A9"/>
    <w:rsid w:val="001B6713"/>
    <w:rsid w:val="001C0C26"/>
    <w:rsid w:val="001C5D62"/>
    <w:rsid w:val="001C733E"/>
    <w:rsid w:val="001C74B1"/>
    <w:rsid w:val="001D2283"/>
    <w:rsid w:val="001E006F"/>
    <w:rsid w:val="001E633C"/>
    <w:rsid w:val="001E7CB1"/>
    <w:rsid w:val="001F0D9C"/>
    <w:rsid w:val="001F6C72"/>
    <w:rsid w:val="001F71CD"/>
    <w:rsid w:val="001F7A1E"/>
    <w:rsid w:val="0020015A"/>
    <w:rsid w:val="002002C8"/>
    <w:rsid w:val="0020372E"/>
    <w:rsid w:val="0020582A"/>
    <w:rsid w:val="002059D2"/>
    <w:rsid w:val="002065C5"/>
    <w:rsid w:val="00206627"/>
    <w:rsid w:val="00206F40"/>
    <w:rsid w:val="002141BB"/>
    <w:rsid w:val="00217FED"/>
    <w:rsid w:val="00227A48"/>
    <w:rsid w:val="002307B2"/>
    <w:rsid w:val="002310B8"/>
    <w:rsid w:val="002328B7"/>
    <w:rsid w:val="00232E07"/>
    <w:rsid w:val="00232E77"/>
    <w:rsid w:val="00234304"/>
    <w:rsid w:val="00235402"/>
    <w:rsid w:val="00237C36"/>
    <w:rsid w:val="00237CDE"/>
    <w:rsid w:val="00244A64"/>
    <w:rsid w:val="00244DE8"/>
    <w:rsid w:val="00246F78"/>
    <w:rsid w:val="00252C09"/>
    <w:rsid w:val="002545E1"/>
    <w:rsid w:val="002565D2"/>
    <w:rsid w:val="00260B78"/>
    <w:rsid w:val="00266D0D"/>
    <w:rsid w:val="002678E9"/>
    <w:rsid w:val="00267C83"/>
    <w:rsid w:val="00267F46"/>
    <w:rsid w:val="00271C54"/>
    <w:rsid w:val="00275DBA"/>
    <w:rsid w:val="002774F0"/>
    <w:rsid w:val="00282A3B"/>
    <w:rsid w:val="002836B2"/>
    <w:rsid w:val="00283FA8"/>
    <w:rsid w:val="00284B23"/>
    <w:rsid w:val="00285A90"/>
    <w:rsid w:val="00292CB1"/>
    <w:rsid w:val="002964C4"/>
    <w:rsid w:val="002A028A"/>
    <w:rsid w:val="002A0B8A"/>
    <w:rsid w:val="002A20F3"/>
    <w:rsid w:val="002A36AA"/>
    <w:rsid w:val="002A49BB"/>
    <w:rsid w:val="002A5D69"/>
    <w:rsid w:val="002A611C"/>
    <w:rsid w:val="002A6E87"/>
    <w:rsid w:val="002A7C62"/>
    <w:rsid w:val="002B0E78"/>
    <w:rsid w:val="002B28EE"/>
    <w:rsid w:val="002B3A65"/>
    <w:rsid w:val="002B4D9D"/>
    <w:rsid w:val="002B66EB"/>
    <w:rsid w:val="002B69CE"/>
    <w:rsid w:val="002B69FD"/>
    <w:rsid w:val="002B6BFB"/>
    <w:rsid w:val="002B6E48"/>
    <w:rsid w:val="002C0239"/>
    <w:rsid w:val="002C3B54"/>
    <w:rsid w:val="002C6C9E"/>
    <w:rsid w:val="002D3A54"/>
    <w:rsid w:val="002D3E0D"/>
    <w:rsid w:val="002D64F7"/>
    <w:rsid w:val="002E0C7D"/>
    <w:rsid w:val="002E2311"/>
    <w:rsid w:val="002E26B6"/>
    <w:rsid w:val="002F297C"/>
    <w:rsid w:val="002F5105"/>
    <w:rsid w:val="002F772F"/>
    <w:rsid w:val="002F7E32"/>
    <w:rsid w:val="0030080A"/>
    <w:rsid w:val="00302A47"/>
    <w:rsid w:val="00304612"/>
    <w:rsid w:val="00304678"/>
    <w:rsid w:val="00306A5D"/>
    <w:rsid w:val="003074AF"/>
    <w:rsid w:val="00307B29"/>
    <w:rsid w:val="00307F5E"/>
    <w:rsid w:val="0031075F"/>
    <w:rsid w:val="00310964"/>
    <w:rsid w:val="0031346E"/>
    <w:rsid w:val="00317315"/>
    <w:rsid w:val="0032029F"/>
    <w:rsid w:val="003217E1"/>
    <w:rsid w:val="0032262F"/>
    <w:rsid w:val="003230C5"/>
    <w:rsid w:val="00323278"/>
    <w:rsid w:val="00323610"/>
    <w:rsid w:val="003325C4"/>
    <w:rsid w:val="00334D1D"/>
    <w:rsid w:val="00340D34"/>
    <w:rsid w:val="003411DB"/>
    <w:rsid w:val="00344708"/>
    <w:rsid w:val="00345816"/>
    <w:rsid w:val="00345A87"/>
    <w:rsid w:val="003462FD"/>
    <w:rsid w:val="003513B4"/>
    <w:rsid w:val="0035169E"/>
    <w:rsid w:val="003544C2"/>
    <w:rsid w:val="003557E1"/>
    <w:rsid w:val="00356C0F"/>
    <w:rsid w:val="00356DA1"/>
    <w:rsid w:val="00357DAD"/>
    <w:rsid w:val="00360591"/>
    <w:rsid w:val="00360F21"/>
    <w:rsid w:val="003622F3"/>
    <w:rsid w:val="003649FA"/>
    <w:rsid w:val="00365214"/>
    <w:rsid w:val="00370283"/>
    <w:rsid w:val="003722DD"/>
    <w:rsid w:val="00377DA6"/>
    <w:rsid w:val="00384D52"/>
    <w:rsid w:val="0038547F"/>
    <w:rsid w:val="00386071"/>
    <w:rsid w:val="00390655"/>
    <w:rsid w:val="00395BF0"/>
    <w:rsid w:val="003A15CC"/>
    <w:rsid w:val="003A2530"/>
    <w:rsid w:val="003A30DC"/>
    <w:rsid w:val="003A3DB5"/>
    <w:rsid w:val="003A6B22"/>
    <w:rsid w:val="003A6B4C"/>
    <w:rsid w:val="003A7112"/>
    <w:rsid w:val="003A73C6"/>
    <w:rsid w:val="003A75B4"/>
    <w:rsid w:val="003B28D3"/>
    <w:rsid w:val="003B2FA6"/>
    <w:rsid w:val="003B39C0"/>
    <w:rsid w:val="003B6883"/>
    <w:rsid w:val="003C130E"/>
    <w:rsid w:val="003C17BD"/>
    <w:rsid w:val="003C3D70"/>
    <w:rsid w:val="003C6B9E"/>
    <w:rsid w:val="003D0E8A"/>
    <w:rsid w:val="003D15A2"/>
    <w:rsid w:val="003D15BE"/>
    <w:rsid w:val="003D2D86"/>
    <w:rsid w:val="003D3A95"/>
    <w:rsid w:val="003D59BF"/>
    <w:rsid w:val="003D77EC"/>
    <w:rsid w:val="003D7AE9"/>
    <w:rsid w:val="003E398A"/>
    <w:rsid w:val="003E415D"/>
    <w:rsid w:val="003E5419"/>
    <w:rsid w:val="003F2483"/>
    <w:rsid w:val="003F55F8"/>
    <w:rsid w:val="00402CAC"/>
    <w:rsid w:val="00404A46"/>
    <w:rsid w:val="00406CAF"/>
    <w:rsid w:val="00407BB1"/>
    <w:rsid w:val="00411265"/>
    <w:rsid w:val="00411BE6"/>
    <w:rsid w:val="00414828"/>
    <w:rsid w:val="004161EC"/>
    <w:rsid w:val="00416DEB"/>
    <w:rsid w:val="004217D3"/>
    <w:rsid w:val="00421ABB"/>
    <w:rsid w:val="00423CB3"/>
    <w:rsid w:val="00427CCD"/>
    <w:rsid w:val="00431006"/>
    <w:rsid w:val="00436723"/>
    <w:rsid w:val="004407D7"/>
    <w:rsid w:val="00440F3B"/>
    <w:rsid w:val="00441FAE"/>
    <w:rsid w:val="00446DD4"/>
    <w:rsid w:val="00462F44"/>
    <w:rsid w:val="00463786"/>
    <w:rsid w:val="004642D9"/>
    <w:rsid w:val="004655F9"/>
    <w:rsid w:val="00467F65"/>
    <w:rsid w:val="00470BC7"/>
    <w:rsid w:val="004711B9"/>
    <w:rsid w:val="00471879"/>
    <w:rsid w:val="00471B20"/>
    <w:rsid w:val="00472478"/>
    <w:rsid w:val="004755D9"/>
    <w:rsid w:val="004757A5"/>
    <w:rsid w:val="00476207"/>
    <w:rsid w:val="00480421"/>
    <w:rsid w:val="004842B7"/>
    <w:rsid w:val="004873AC"/>
    <w:rsid w:val="00491328"/>
    <w:rsid w:val="00492CEC"/>
    <w:rsid w:val="004934C5"/>
    <w:rsid w:val="00493787"/>
    <w:rsid w:val="00495BB8"/>
    <w:rsid w:val="00495C6A"/>
    <w:rsid w:val="00497E37"/>
    <w:rsid w:val="004A1630"/>
    <w:rsid w:val="004A35C1"/>
    <w:rsid w:val="004A4439"/>
    <w:rsid w:val="004A4661"/>
    <w:rsid w:val="004A5431"/>
    <w:rsid w:val="004A6DDC"/>
    <w:rsid w:val="004A73CB"/>
    <w:rsid w:val="004B051C"/>
    <w:rsid w:val="004B1115"/>
    <w:rsid w:val="004B43B8"/>
    <w:rsid w:val="004B5140"/>
    <w:rsid w:val="004C1B31"/>
    <w:rsid w:val="004C5EF8"/>
    <w:rsid w:val="004C62D6"/>
    <w:rsid w:val="004C7C48"/>
    <w:rsid w:val="004D57ED"/>
    <w:rsid w:val="004D6FFA"/>
    <w:rsid w:val="004D7C89"/>
    <w:rsid w:val="004D7F3C"/>
    <w:rsid w:val="004E0DD8"/>
    <w:rsid w:val="004E1BA3"/>
    <w:rsid w:val="004E32BF"/>
    <w:rsid w:val="004E35E1"/>
    <w:rsid w:val="004E43F7"/>
    <w:rsid w:val="004E71EE"/>
    <w:rsid w:val="004E798A"/>
    <w:rsid w:val="004F7DBD"/>
    <w:rsid w:val="0050413C"/>
    <w:rsid w:val="005045B3"/>
    <w:rsid w:val="0050544A"/>
    <w:rsid w:val="005067E7"/>
    <w:rsid w:val="00507DEB"/>
    <w:rsid w:val="00511E76"/>
    <w:rsid w:val="00511EB1"/>
    <w:rsid w:val="005162D5"/>
    <w:rsid w:val="0051635E"/>
    <w:rsid w:val="00523991"/>
    <w:rsid w:val="00524E8F"/>
    <w:rsid w:val="00526ACE"/>
    <w:rsid w:val="0052780D"/>
    <w:rsid w:val="00532490"/>
    <w:rsid w:val="00532BB9"/>
    <w:rsid w:val="00533440"/>
    <w:rsid w:val="00534BE7"/>
    <w:rsid w:val="00541617"/>
    <w:rsid w:val="0055139E"/>
    <w:rsid w:val="00551B1F"/>
    <w:rsid w:val="00552535"/>
    <w:rsid w:val="0055253C"/>
    <w:rsid w:val="00560ABC"/>
    <w:rsid w:val="0056135E"/>
    <w:rsid w:val="00564E48"/>
    <w:rsid w:val="00565233"/>
    <w:rsid w:val="00565BD2"/>
    <w:rsid w:val="005726AF"/>
    <w:rsid w:val="00572A77"/>
    <w:rsid w:val="00575BE4"/>
    <w:rsid w:val="00576EAF"/>
    <w:rsid w:val="0058102A"/>
    <w:rsid w:val="00581AB2"/>
    <w:rsid w:val="00585AFA"/>
    <w:rsid w:val="005915AC"/>
    <w:rsid w:val="005926BA"/>
    <w:rsid w:val="005931EA"/>
    <w:rsid w:val="00594417"/>
    <w:rsid w:val="00594AB0"/>
    <w:rsid w:val="00594CE4"/>
    <w:rsid w:val="00596C3F"/>
    <w:rsid w:val="005A213C"/>
    <w:rsid w:val="005A2491"/>
    <w:rsid w:val="005A3E16"/>
    <w:rsid w:val="005A7059"/>
    <w:rsid w:val="005B5ACE"/>
    <w:rsid w:val="005B7122"/>
    <w:rsid w:val="005C06DF"/>
    <w:rsid w:val="005C0B15"/>
    <w:rsid w:val="005C0C14"/>
    <w:rsid w:val="005C1565"/>
    <w:rsid w:val="005C1D69"/>
    <w:rsid w:val="005C568A"/>
    <w:rsid w:val="005D633C"/>
    <w:rsid w:val="005E1A88"/>
    <w:rsid w:val="005E652B"/>
    <w:rsid w:val="005E74FA"/>
    <w:rsid w:val="005F3051"/>
    <w:rsid w:val="005F357B"/>
    <w:rsid w:val="005F3BAF"/>
    <w:rsid w:val="005F41EF"/>
    <w:rsid w:val="005F548D"/>
    <w:rsid w:val="005F67CE"/>
    <w:rsid w:val="00604DB2"/>
    <w:rsid w:val="006064CD"/>
    <w:rsid w:val="0060776C"/>
    <w:rsid w:val="00611635"/>
    <w:rsid w:val="00615BF3"/>
    <w:rsid w:val="00616E41"/>
    <w:rsid w:val="00620AC0"/>
    <w:rsid w:val="00621A16"/>
    <w:rsid w:val="006225FC"/>
    <w:rsid w:val="006232E7"/>
    <w:rsid w:val="0062339D"/>
    <w:rsid w:val="00626FDF"/>
    <w:rsid w:val="006275CB"/>
    <w:rsid w:val="00631A79"/>
    <w:rsid w:val="0063235A"/>
    <w:rsid w:val="0063302C"/>
    <w:rsid w:val="006332E7"/>
    <w:rsid w:val="00633662"/>
    <w:rsid w:val="00637AEB"/>
    <w:rsid w:val="00646E76"/>
    <w:rsid w:val="00647618"/>
    <w:rsid w:val="006517C3"/>
    <w:rsid w:val="0065292C"/>
    <w:rsid w:val="00654586"/>
    <w:rsid w:val="00661480"/>
    <w:rsid w:val="006616F6"/>
    <w:rsid w:val="00661AAC"/>
    <w:rsid w:val="00661FC0"/>
    <w:rsid w:val="00662713"/>
    <w:rsid w:val="006651A7"/>
    <w:rsid w:val="00667974"/>
    <w:rsid w:val="006731A3"/>
    <w:rsid w:val="00676AB9"/>
    <w:rsid w:val="006775DD"/>
    <w:rsid w:val="006777FC"/>
    <w:rsid w:val="006819A5"/>
    <w:rsid w:val="00682E41"/>
    <w:rsid w:val="006831C2"/>
    <w:rsid w:val="00683D64"/>
    <w:rsid w:val="006847D6"/>
    <w:rsid w:val="00684983"/>
    <w:rsid w:val="00685F5C"/>
    <w:rsid w:val="0068617E"/>
    <w:rsid w:val="0068693F"/>
    <w:rsid w:val="00686AFF"/>
    <w:rsid w:val="00686EA6"/>
    <w:rsid w:val="00690AC1"/>
    <w:rsid w:val="00693ADD"/>
    <w:rsid w:val="00695DF5"/>
    <w:rsid w:val="006A082D"/>
    <w:rsid w:val="006A2F42"/>
    <w:rsid w:val="006A5F2B"/>
    <w:rsid w:val="006A7D8E"/>
    <w:rsid w:val="006B1BC8"/>
    <w:rsid w:val="006B26A3"/>
    <w:rsid w:val="006B3D7C"/>
    <w:rsid w:val="006B5BAB"/>
    <w:rsid w:val="006B6126"/>
    <w:rsid w:val="006B6CE2"/>
    <w:rsid w:val="006B710D"/>
    <w:rsid w:val="006B78DA"/>
    <w:rsid w:val="006C131C"/>
    <w:rsid w:val="006C4A2B"/>
    <w:rsid w:val="006C4F4A"/>
    <w:rsid w:val="006C58D0"/>
    <w:rsid w:val="006D04FF"/>
    <w:rsid w:val="006D461E"/>
    <w:rsid w:val="006D54EE"/>
    <w:rsid w:val="006D5CEB"/>
    <w:rsid w:val="006D6C4E"/>
    <w:rsid w:val="006E3BF6"/>
    <w:rsid w:val="006E403A"/>
    <w:rsid w:val="006F32B7"/>
    <w:rsid w:val="006F354D"/>
    <w:rsid w:val="006F4750"/>
    <w:rsid w:val="006F5DBE"/>
    <w:rsid w:val="006F5DEB"/>
    <w:rsid w:val="006F7731"/>
    <w:rsid w:val="00702429"/>
    <w:rsid w:val="0070565B"/>
    <w:rsid w:val="00705943"/>
    <w:rsid w:val="007065BD"/>
    <w:rsid w:val="00710348"/>
    <w:rsid w:val="00710D83"/>
    <w:rsid w:val="0071183E"/>
    <w:rsid w:val="00712BC4"/>
    <w:rsid w:val="00713AC3"/>
    <w:rsid w:val="00715BA0"/>
    <w:rsid w:val="007275AE"/>
    <w:rsid w:val="00731423"/>
    <w:rsid w:val="007339BB"/>
    <w:rsid w:val="0073542F"/>
    <w:rsid w:val="00737EAE"/>
    <w:rsid w:val="00742F02"/>
    <w:rsid w:val="007447D5"/>
    <w:rsid w:val="00753E3D"/>
    <w:rsid w:val="00754621"/>
    <w:rsid w:val="007665FB"/>
    <w:rsid w:val="00766DFC"/>
    <w:rsid w:val="00770C98"/>
    <w:rsid w:val="00771CC4"/>
    <w:rsid w:val="007727C7"/>
    <w:rsid w:val="0077394E"/>
    <w:rsid w:val="00773B63"/>
    <w:rsid w:val="00774F05"/>
    <w:rsid w:val="007757B4"/>
    <w:rsid w:val="00776693"/>
    <w:rsid w:val="00777DD9"/>
    <w:rsid w:val="007802C1"/>
    <w:rsid w:val="00780E4F"/>
    <w:rsid w:val="00781522"/>
    <w:rsid w:val="007828AB"/>
    <w:rsid w:val="00783890"/>
    <w:rsid w:val="00785D41"/>
    <w:rsid w:val="00787662"/>
    <w:rsid w:val="00793180"/>
    <w:rsid w:val="00793C7A"/>
    <w:rsid w:val="00794EF8"/>
    <w:rsid w:val="007975CD"/>
    <w:rsid w:val="007A0383"/>
    <w:rsid w:val="007A08B5"/>
    <w:rsid w:val="007A225A"/>
    <w:rsid w:val="007A2E86"/>
    <w:rsid w:val="007A7DC5"/>
    <w:rsid w:val="007B21C5"/>
    <w:rsid w:val="007B24A0"/>
    <w:rsid w:val="007B3F72"/>
    <w:rsid w:val="007B4F17"/>
    <w:rsid w:val="007C2226"/>
    <w:rsid w:val="007C3732"/>
    <w:rsid w:val="007C4D3D"/>
    <w:rsid w:val="007C504C"/>
    <w:rsid w:val="007C5A1F"/>
    <w:rsid w:val="007D0C28"/>
    <w:rsid w:val="007D13BF"/>
    <w:rsid w:val="007D24E5"/>
    <w:rsid w:val="007D315D"/>
    <w:rsid w:val="007D3831"/>
    <w:rsid w:val="007E20DF"/>
    <w:rsid w:val="007E2831"/>
    <w:rsid w:val="007E2BD7"/>
    <w:rsid w:val="007E5C4F"/>
    <w:rsid w:val="007F00CB"/>
    <w:rsid w:val="007F0441"/>
    <w:rsid w:val="007F3320"/>
    <w:rsid w:val="007F64F2"/>
    <w:rsid w:val="007F6A99"/>
    <w:rsid w:val="00801E6B"/>
    <w:rsid w:val="008030E1"/>
    <w:rsid w:val="008031AD"/>
    <w:rsid w:val="008031BE"/>
    <w:rsid w:val="00805473"/>
    <w:rsid w:val="00805A88"/>
    <w:rsid w:val="00806685"/>
    <w:rsid w:val="00807A00"/>
    <w:rsid w:val="00814167"/>
    <w:rsid w:val="00814EA6"/>
    <w:rsid w:val="008153F0"/>
    <w:rsid w:val="00815E3F"/>
    <w:rsid w:val="00816883"/>
    <w:rsid w:val="00816926"/>
    <w:rsid w:val="00821B43"/>
    <w:rsid w:val="00822C97"/>
    <w:rsid w:val="00822D95"/>
    <w:rsid w:val="00825124"/>
    <w:rsid w:val="00827622"/>
    <w:rsid w:val="00827C69"/>
    <w:rsid w:val="00830F0B"/>
    <w:rsid w:val="00834AD0"/>
    <w:rsid w:val="00837178"/>
    <w:rsid w:val="00837C50"/>
    <w:rsid w:val="008438B9"/>
    <w:rsid w:val="00850839"/>
    <w:rsid w:val="008546EB"/>
    <w:rsid w:val="008579AF"/>
    <w:rsid w:val="00863672"/>
    <w:rsid w:val="008639AE"/>
    <w:rsid w:val="00864736"/>
    <w:rsid w:val="00865DE3"/>
    <w:rsid w:val="0086669F"/>
    <w:rsid w:val="00867602"/>
    <w:rsid w:val="00867E42"/>
    <w:rsid w:val="00867FAB"/>
    <w:rsid w:val="00870F13"/>
    <w:rsid w:val="00871053"/>
    <w:rsid w:val="00871267"/>
    <w:rsid w:val="00871283"/>
    <w:rsid w:val="00872359"/>
    <w:rsid w:val="00872925"/>
    <w:rsid w:val="00874DD8"/>
    <w:rsid w:val="00875C12"/>
    <w:rsid w:val="008762A4"/>
    <w:rsid w:val="00876334"/>
    <w:rsid w:val="00877EE2"/>
    <w:rsid w:val="00880CFD"/>
    <w:rsid w:val="00880E0B"/>
    <w:rsid w:val="00881557"/>
    <w:rsid w:val="0088274E"/>
    <w:rsid w:val="00885A1F"/>
    <w:rsid w:val="00886137"/>
    <w:rsid w:val="00887D7C"/>
    <w:rsid w:val="00890586"/>
    <w:rsid w:val="00891DE9"/>
    <w:rsid w:val="00892D02"/>
    <w:rsid w:val="0089335E"/>
    <w:rsid w:val="00894A6D"/>
    <w:rsid w:val="00895989"/>
    <w:rsid w:val="008A0119"/>
    <w:rsid w:val="008A222C"/>
    <w:rsid w:val="008A23CA"/>
    <w:rsid w:val="008A2725"/>
    <w:rsid w:val="008A5CA9"/>
    <w:rsid w:val="008B0248"/>
    <w:rsid w:val="008B08B5"/>
    <w:rsid w:val="008B13DA"/>
    <w:rsid w:val="008B2611"/>
    <w:rsid w:val="008B3784"/>
    <w:rsid w:val="008B3DA8"/>
    <w:rsid w:val="008B4CA3"/>
    <w:rsid w:val="008C3F32"/>
    <w:rsid w:val="008C50C7"/>
    <w:rsid w:val="008D07D6"/>
    <w:rsid w:val="008D16EA"/>
    <w:rsid w:val="008D2867"/>
    <w:rsid w:val="008D69E3"/>
    <w:rsid w:val="008D7162"/>
    <w:rsid w:val="008E01DF"/>
    <w:rsid w:val="008E307D"/>
    <w:rsid w:val="008E4AB0"/>
    <w:rsid w:val="008E5FE1"/>
    <w:rsid w:val="008E79ED"/>
    <w:rsid w:val="008F08D9"/>
    <w:rsid w:val="008F1418"/>
    <w:rsid w:val="008F39E4"/>
    <w:rsid w:val="008F3CD0"/>
    <w:rsid w:val="008F525A"/>
    <w:rsid w:val="008F576A"/>
    <w:rsid w:val="008F5FFD"/>
    <w:rsid w:val="008F600E"/>
    <w:rsid w:val="008F6A16"/>
    <w:rsid w:val="009031C4"/>
    <w:rsid w:val="00904608"/>
    <w:rsid w:val="009055EB"/>
    <w:rsid w:val="0090664B"/>
    <w:rsid w:val="009070A0"/>
    <w:rsid w:val="0091001E"/>
    <w:rsid w:val="0091157F"/>
    <w:rsid w:val="00912DF0"/>
    <w:rsid w:val="00914CC5"/>
    <w:rsid w:val="009156A7"/>
    <w:rsid w:val="009161F8"/>
    <w:rsid w:val="009215F9"/>
    <w:rsid w:val="00921972"/>
    <w:rsid w:val="0092225C"/>
    <w:rsid w:val="00922C6F"/>
    <w:rsid w:val="00925CF5"/>
    <w:rsid w:val="0093463C"/>
    <w:rsid w:val="009357CE"/>
    <w:rsid w:val="00935CFC"/>
    <w:rsid w:val="00937E5F"/>
    <w:rsid w:val="00940C27"/>
    <w:rsid w:val="00941357"/>
    <w:rsid w:val="00943282"/>
    <w:rsid w:val="00943E31"/>
    <w:rsid w:val="009441ED"/>
    <w:rsid w:val="00944BA8"/>
    <w:rsid w:val="00946ED6"/>
    <w:rsid w:val="009500EE"/>
    <w:rsid w:val="009509FC"/>
    <w:rsid w:val="009511BE"/>
    <w:rsid w:val="00951B03"/>
    <w:rsid w:val="00951BD6"/>
    <w:rsid w:val="00951CC5"/>
    <w:rsid w:val="00951CF5"/>
    <w:rsid w:val="00953087"/>
    <w:rsid w:val="00955626"/>
    <w:rsid w:val="009568E1"/>
    <w:rsid w:val="00962294"/>
    <w:rsid w:val="00964B0D"/>
    <w:rsid w:val="00965634"/>
    <w:rsid w:val="009660AB"/>
    <w:rsid w:val="009709DA"/>
    <w:rsid w:val="00972CB9"/>
    <w:rsid w:val="0097451D"/>
    <w:rsid w:val="00980B87"/>
    <w:rsid w:val="00982DC5"/>
    <w:rsid w:val="009844AF"/>
    <w:rsid w:val="00984D1D"/>
    <w:rsid w:val="00986653"/>
    <w:rsid w:val="00986F67"/>
    <w:rsid w:val="00987E2F"/>
    <w:rsid w:val="00996087"/>
    <w:rsid w:val="0099744D"/>
    <w:rsid w:val="009A18B4"/>
    <w:rsid w:val="009A4E3A"/>
    <w:rsid w:val="009A57FC"/>
    <w:rsid w:val="009A7313"/>
    <w:rsid w:val="009B0D67"/>
    <w:rsid w:val="009B1806"/>
    <w:rsid w:val="009B7814"/>
    <w:rsid w:val="009C1F02"/>
    <w:rsid w:val="009C26C4"/>
    <w:rsid w:val="009C2C92"/>
    <w:rsid w:val="009C5425"/>
    <w:rsid w:val="009D117A"/>
    <w:rsid w:val="009D1451"/>
    <w:rsid w:val="009D491F"/>
    <w:rsid w:val="009E1EE7"/>
    <w:rsid w:val="009E4037"/>
    <w:rsid w:val="009E40C3"/>
    <w:rsid w:val="009E4854"/>
    <w:rsid w:val="009E4A0D"/>
    <w:rsid w:val="009E759A"/>
    <w:rsid w:val="009F18E5"/>
    <w:rsid w:val="009F23D6"/>
    <w:rsid w:val="009F3FBB"/>
    <w:rsid w:val="009F483B"/>
    <w:rsid w:val="009F6CDB"/>
    <w:rsid w:val="009F7AA4"/>
    <w:rsid w:val="00A03CA8"/>
    <w:rsid w:val="00A0637C"/>
    <w:rsid w:val="00A067CD"/>
    <w:rsid w:val="00A10E60"/>
    <w:rsid w:val="00A12373"/>
    <w:rsid w:val="00A17819"/>
    <w:rsid w:val="00A17B83"/>
    <w:rsid w:val="00A2192D"/>
    <w:rsid w:val="00A22D1B"/>
    <w:rsid w:val="00A27736"/>
    <w:rsid w:val="00A31AE4"/>
    <w:rsid w:val="00A31BC1"/>
    <w:rsid w:val="00A31C8F"/>
    <w:rsid w:val="00A36C25"/>
    <w:rsid w:val="00A400C4"/>
    <w:rsid w:val="00A40265"/>
    <w:rsid w:val="00A40515"/>
    <w:rsid w:val="00A41300"/>
    <w:rsid w:val="00A47858"/>
    <w:rsid w:val="00A51BF0"/>
    <w:rsid w:val="00A52EC5"/>
    <w:rsid w:val="00A5473D"/>
    <w:rsid w:val="00A556C4"/>
    <w:rsid w:val="00A5719E"/>
    <w:rsid w:val="00A615C9"/>
    <w:rsid w:val="00A621B6"/>
    <w:rsid w:val="00A6366A"/>
    <w:rsid w:val="00A63DF2"/>
    <w:rsid w:val="00A63EDC"/>
    <w:rsid w:val="00A66BC1"/>
    <w:rsid w:val="00A7089E"/>
    <w:rsid w:val="00A70A43"/>
    <w:rsid w:val="00A721E8"/>
    <w:rsid w:val="00A73635"/>
    <w:rsid w:val="00A7402E"/>
    <w:rsid w:val="00A74C76"/>
    <w:rsid w:val="00A806C4"/>
    <w:rsid w:val="00A81012"/>
    <w:rsid w:val="00A8329D"/>
    <w:rsid w:val="00A83D7E"/>
    <w:rsid w:val="00A84C90"/>
    <w:rsid w:val="00A8798A"/>
    <w:rsid w:val="00A87F41"/>
    <w:rsid w:val="00A917DD"/>
    <w:rsid w:val="00A92584"/>
    <w:rsid w:val="00A959BD"/>
    <w:rsid w:val="00A97CDD"/>
    <w:rsid w:val="00AA1EC4"/>
    <w:rsid w:val="00AA7926"/>
    <w:rsid w:val="00AB395F"/>
    <w:rsid w:val="00AB4D99"/>
    <w:rsid w:val="00AB55C3"/>
    <w:rsid w:val="00AC23FA"/>
    <w:rsid w:val="00AC2C72"/>
    <w:rsid w:val="00AC3470"/>
    <w:rsid w:val="00AC3B34"/>
    <w:rsid w:val="00AC519F"/>
    <w:rsid w:val="00AC5860"/>
    <w:rsid w:val="00AD3C65"/>
    <w:rsid w:val="00AD3E6A"/>
    <w:rsid w:val="00AE03BA"/>
    <w:rsid w:val="00AE1DDD"/>
    <w:rsid w:val="00AE2703"/>
    <w:rsid w:val="00AE30E7"/>
    <w:rsid w:val="00AE3673"/>
    <w:rsid w:val="00AE3771"/>
    <w:rsid w:val="00AE548A"/>
    <w:rsid w:val="00AE561C"/>
    <w:rsid w:val="00AE7D62"/>
    <w:rsid w:val="00AF02D7"/>
    <w:rsid w:val="00AF070F"/>
    <w:rsid w:val="00AF1AAD"/>
    <w:rsid w:val="00AF1AF0"/>
    <w:rsid w:val="00AF449C"/>
    <w:rsid w:val="00AF569C"/>
    <w:rsid w:val="00B00867"/>
    <w:rsid w:val="00B00D91"/>
    <w:rsid w:val="00B00F51"/>
    <w:rsid w:val="00B01212"/>
    <w:rsid w:val="00B021F5"/>
    <w:rsid w:val="00B07F97"/>
    <w:rsid w:val="00B116AD"/>
    <w:rsid w:val="00B11A51"/>
    <w:rsid w:val="00B12589"/>
    <w:rsid w:val="00B2008B"/>
    <w:rsid w:val="00B20805"/>
    <w:rsid w:val="00B221E8"/>
    <w:rsid w:val="00B22DC3"/>
    <w:rsid w:val="00B23EDE"/>
    <w:rsid w:val="00B2710A"/>
    <w:rsid w:val="00B32F6E"/>
    <w:rsid w:val="00B32F87"/>
    <w:rsid w:val="00B36C37"/>
    <w:rsid w:val="00B42A6A"/>
    <w:rsid w:val="00B42AAF"/>
    <w:rsid w:val="00B44CE4"/>
    <w:rsid w:val="00B535AF"/>
    <w:rsid w:val="00B546EC"/>
    <w:rsid w:val="00B552CA"/>
    <w:rsid w:val="00B558A1"/>
    <w:rsid w:val="00B67806"/>
    <w:rsid w:val="00B76EE0"/>
    <w:rsid w:val="00B81CDC"/>
    <w:rsid w:val="00B820C8"/>
    <w:rsid w:val="00B86928"/>
    <w:rsid w:val="00B86A25"/>
    <w:rsid w:val="00B90E7C"/>
    <w:rsid w:val="00B9147F"/>
    <w:rsid w:val="00B92E14"/>
    <w:rsid w:val="00B9348A"/>
    <w:rsid w:val="00B96132"/>
    <w:rsid w:val="00BA0BF7"/>
    <w:rsid w:val="00BA0FB1"/>
    <w:rsid w:val="00BA1FCA"/>
    <w:rsid w:val="00BA43A1"/>
    <w:rsid w:val="00BA4855"/>
    <w:rsid w:val="00BA4AF6"/>
    <w:rsid w:val="00BA6DEC"/>
    <w:rsid w:val="00BA7D18"/>
    <w:rsid w:val="00BB3F71"/>
    <w:rsid w:val="00BB4244"/>
    <w:rsid w:val="00BB5D88"/>
    <w:rsid w:val="00BC0BF0"/>
    <w:rsid w:val="00BC0D46"/>
    <w:rsid w:val="00BC153D"/>
    <w:rsid w:val="00BC1C56"/>
    <w:rsid w:val="00BC2B59"/>
    <w:rsid w:val="00BC3566"/>
    <w:rsid w:val="00BC3E8A"/>
    <w:rsid w:val="00BC411D"/>
    <w:rsid w:val="00BD0063"/>
    <w:rsid w:val="00BD150B"/>
    <w:rsid w:val="00BD3224"/>
    <w:rsid w:val="00BD3718"/>
    <w:rsid w:val="00BD5C92"/>
    <w:rsid w:val="00BD69BD"/>
    <w:rsid w:val="00BD7A6A"/>
    <w:rsid w:val="00BE0B03"/>
    <w:rsid w:val="00BE0E30"/>
    <w:rsid w:val="00BE0F14"/>
    <w:rsid w:val="00BE0FC3"/>
    <w:rsid w:val="00BE10C2"/>
    <w:rsid w:val="00BE31B3"/>
    <w:rsid w:val="00BE7450"/>
    <w:rsid w:val="00BF10AB"/>
    <w:rsid w:val="00BF1372"/>
    <w:rsid w:val="00BF3127"/>
    <w:rsid w:val="00BF4303"/>
    <w:rsid w:val="00BF7073"/>
    <w:rsid w:val="00C03F18"/>
    <w:rsid w:val="00C05EDC"/>
    <w:rsid w:val="00C13C30"/>
    <w:rsid w:val="00C15839"/>
    <w:rsid w:val="00C15862"/>
    <w:rsid w:val="00C16B18"/>
    <w:rsid w:val="00C17E04"/>
    <w:rsid w:val="00C21AE4"/>
    <w:rsid w:val="00C30163"/>
    <w:rsid w:val="00C3102F"/>
    <w:rsid w:val="00C35280"/>
    <w:rsid w:val="00C42E64"/>
    <w:rsid w:val="00C4327B"/>
    <w:rsid w:val="00C44F77"/>
    <w:rsid w:val="00C45397"/>
    <w:rsid w:val="00C511AE"/>
    <w:rsid w:val="00C511C1"/>
    <w:rsid w:val="00C51756"/>
    <w:rsid w:val="00C5399A"/>
    <w:rsid w:val="00C548F8"/>
    <w:rsid w:val="00C568EA"/>
    <w:rsid w:val="00C56F5F"/>
    <w:rsid w:val="00C57186"/>
    <w:rsid w:val="00C575AD"/>
    <w:rsid w:val="00C70A25"/>
    <w:rsid w:val="00C71216"/>
    <w:rsid w:val="00C724B5"/>
    <w:rsid w:val="00C7461F"/>
    <w:rsid w:val="00C75201"/>
    <w:rsid w:val="00C75318"/>
    <w:rsid w:val="00C75803"/>
    <w:rsid w:val="00C75E52"/>
    <w:rsid w:val="00C7784C"/>
    <w:rsid w:val="00C80A2C"/>
    <w:rsid w:val="00C847B6"/>
    <w:rsid w:val="00C8522D"/>
    <w:rsid w:val="00C979F7"/>
    <w:rsid w:val="00C97FF0"/>
    <w:rsid w:val="00CA47AB"/>
    <w:rsid w:val="00CA5243"/>
    <w:rsid w:val="00CA5932"/>
    <w:rsid w:val="00CA6DDD"/>
    <w:rsid w:val="00CB182B"/>
    <w:rsid w:val="00CB3A68"/>
    <w:rsid w:val="00CB4BB1"/>
    <w:rsid w:val="00CB65AD"/>
    <w:rsid w:val="00CB7D78"/>
    <w:rsid w:val="00CC04CF"/>
    <w:rsid w:val="00CC1716"/>
    <w:rsid w:val="00CC467E"/>
    <w:rsid w:val="00CC4B22"/>
    <w:rsid w:val="00CC5420"/>
    <w:rsid w:val="00CC5E0A"/>
    <w:rsid w:val="00CC6973"/>
    <w:rsid w:val="00CD0166"/>
    <w:rsid w:val="00CD0802"/>
    <w:rsid w:val="00CD1C33"/>
    <w:rsid w:val="00CD4AE7"/>
    <w:rsid w:val="00CE0E90"/>
    <w:rsid w:val="00CE0FAA"/>
    <w:rsid w:val="00CE203F"/>
    <w:rsid w:val="00CE2D26"/>
    <w:rsid w:val="00CE557E"/>
    <w:rsid w:val="00CE58C3"/>
    <w:rsid w:val="00CE6A0C"/>
    <w:rsid w:val="00CE7241"/>
    <w:rsid w:val="00CF081E"/>
    <w:rsid w:val="00CF08CD"/>
    <w:rsid w:val="00CF10D2"/>
    <w:rsid w:val="00CF110E"/>
    <w:rsid w:val="00CF1CE4"/>
    <w:rsid w:val="00CF2045"/>
    <w:rsid w:val="00CF4D62"/>
    <w:rsid w:val="00CF55F2"/>
    <w:rsid w:val="00D00879"/>
    <w:rsid w:val="00D01AAA"/>
    <w:rsid w:val="00D028C5"/>
    <w:rsid w:val="00D03E63"/>
    <w:rsid w:val="00D07AE4"/>
    <w:rsid w:val="00D10C11"/>
    <w:rsid w:val="00D11282"/>
    <w:rsid w:val="00D123F9"/>
    <w:rsid w:val="00D12AD4"/>
    <w:rsid w:val="00D14E12"/>
    <w:rsid w:val="00D24E36"/>
    <w:rsid w:val="00D26D6E"/>
    <w:rsid w:val="00D26E9B"/>
    <w:rsid w:val="00D3463B"/>
    <w:rsid w:val="00D34A88"/>
    <w:rsid w:val="00D34DE5"/>
    <w:rsid w:val="00D40806"/>
    <w:rsid w:val="00D428D2"/>
    <w:rsid w:val="00D510C0"/>
    <w:rsid w:val="00D5432C"/>
    <w:rsid w:val="00D55E47"/>
    <w:rsid w:val="00D600F5"/>
    <w:rsid w:val="00D61460"/>
    <w:rsid w:val="00D624AD"/>
    <w:rsid w:val="00D630BC"/>
    <w:rsid w:val="00D64747"/>
    <w:rsid w:val="00D70C49"/>
    <w:rsid w:val="00D7116D"/>
    <w:rsid w:val="00D728CA"/>
    <w:rsid w:val="00D7350B"/>
    <w:rsid w:val="00D74EB1"/>
    <w:rsid w:val="00D75432"/>
    <w:rsid w:val="00D76C0E"/>
    <w:rsid w:val="00D82751"/>
    <w:rsid w:val="00D86B3B"/>
    <w:rsid w:val="00D91324"/>
    <w:rsid w:val="00D9163C"/>
    <w:rsid w:val="00D925CA"/>
    <w:rsid w:val="00D92BFE"/>
    <w:rsid w:val="00D93AF7"/>
    <w:rsid w:val="00DA038E"/>
    <w:rsid w:val="00DA4028"/>
    <w:rsid w:val="00DA58A6"/>
    <w:rsid w:val="00DA7A32"/>
    <w:rsid w:val="00DB0550"/>
    <w:rsid w:val="00DB107C"/>
    <w:rsid w:val="00DB20AB"/>
    <w:rsid w:val="00DB24D3"/>
    <w:rsid w:val="00DB55CF"/>
    <w:rsid w:val="00DB6A18"/>
    <w:rsid w:val="00DB7206"/>
    <w:rsid w:val="00DB79B2"/>
    <w:rsid w:val="00DC11CA"/>
    <w:rsid w:val="00DC299C"/>
    <w:rsid w:val="00DC2C85"/>
    <w:rsid w:val="00DC332B"/>
    <w:rsid w:val="00DC4BA7"/>
    <w:rsid w:val="00DC4F49"/>
    <w:rsid w:val="00DD01CD"/>
    <w:rsid w:val="00DD207F"/>
    <w:rsid w:val="00DD243E"/>
    <w:rsid w:val="00DD7725"/>
    <w:rsid w:val="00DE103F"/>
    <w:rsid w:val="00DE363A"/>
    <w:rsid w:val="00DE4C07"/>
    <w:rsid w:val="00DE5DB4"/>
    <w:rsid w:val="00DE6E08"/>
    <w:rsid w:val="00DE6EA9"/>
    <w:rsid w:val="00DF108F"/>
    <w:rsid w:val="00DF1A17"/>
    <w:rsid w:val="00DF3799"/>
    <w:rsid w:val="00DF49D5"/>
    <w:rsid w:val="00DF565B"/>
    <w:rsid w:val="00DF5C65"/>
    <w:rsid w:val="00DF6E37"/>
    <w:rsid w:val="00E03B5D"/>
    <w:rsid w:val="00E03B78"/>
    <w:rsid w:val="00E0403D"/>
    <w:rsid w:val="00E118AB"/>
    <w:rsid w:val="00E12428"/>
    <w:rsid w:val="00E126C5"/>
    <w:rsid w:val="00E131D8"/>
    <w:rsid w:val="00E171C6"/>
    <w:rsid w:val="00E23B3F"/>
    <w:rsid w:val="00E254E0"/>
    <w:rsid w:val="00E25E61"/>
    <w:rsid w:val="00E27429"/>
    <w:rsid w:val="00E3076C"/>
    <w:rsid w:val="00E35E24"/>
    <w:rsid w:val="00E4124A"/>
    <w:rsid w:val="00E45555"/>
    <w:rsid w:val="00E51307"/>
    <w:rsid w:val="00E52D3F"/>
    <w:rsid w:val="00E530A9"/>
    <w:rsid w:val="00E53560"/>
    <w:rsid w:val="00E55854"/>
    <w:rsid w:val="00E5651F"/>
    <w:rsid w:val="00E569DE"/>
    <w:rsid w:val="00E57DCB"/>
    <w:rsid w:val="00E57F26"/>
    <w:rsid w:val="00E66707"/>
    <w:rsid w:val="00E667C8"/>
    <w:rsid w:val="00E719B1"/>
    <w:rsid w:val="00E72CD7"/>
    <w:rsid w:val="00E74790"/>
    <w:rsid w:val="00E747D1"/>
    <w:rsid w:val="00E762ED"/>
    <w:rsid w:val="00E777F5"/>
    <w:rsid w:val="00E8066C"/>
    <w:rsid w:val="00E830F3"/>
    <w:rsid w:val="00E8587B"/>
    <w:rsid w:val="00E86553"/>
    <w:rsid w:val="00E86A6C"/>
    <w:rsid w:val="00E86BCC"/>
    <w:rsid w:val="00E9011B"/>
    <w:rsid w:val="00E9407B"/>
    <w:rsid w:val="00E9433F"/>
    <w:rsid w:val="00E97DAD"/>
    <w:rsid w:val="00EA0429"/>
    <w:rsid w:val="00EA068B"/>
    <w:rsid w:val="00EA2CAC"/>
    <w:rsid w:val="00EA59A1"/>
    <w:rsid w:val="00EA7D93"/>
    <w:rsid w:val="00EB13D4"/>
    <w:rsid w:val="00EB2346"/>
    <w:rsid w:val="00EB3E1A"/>
    <w:rsid w:val="00EB4B96"/>
    <w:rsid w:val="00EB5AA4"/>
    <w:rsid w:val="00EB667E"/>
    <w:rsid w:val="00EB7A21"/>
    <w:rsid w:val="00EC17B0"/>
    <w:rsid w:val="00EC19D6"/>
    <w:rsid w:val="00EC3544"/>
    <w:rsid w:val="00EC5832"/>
    <w:rsid w:val="00ED0F99"/>
    <w:rsid w:val="00ED150D"/>
    <w:rsid w:val="00ED312B"/>
    <w:rsid w:val="00ED3138"/>
    <w:rsid w:val="00ED6115"/>
    <w:rsid w:val="00ED6997"/>
    <w:rsid w:val="00EE23BB"/>
    <w:rsid w:val="00EE6009"/>
    <w:rsid w:val="00EF1134"/>
    <w:rsid w:val="00EF4427"/>
    <w:rsid w:val="00F00486"/>
    <w:rsid w:val="00F00DAC"/>
    <w:rsid w:val="00F01703"/>
    <w:rsid w:val="00F01E26"/>
    <w:rsid w:val="00F071DC"/>
    <w:rsid w:val="00F075B8"/>
    <w:rsid w:val="00F1061F"/>
    <w:rsid w:val="00F118FF"/>
    <w:rsid w:val="00F134E5"/>
    <w:rsid w:val="00F1616D"/>
    <w:rsid w:val="00F16910"/>
    <w:rsid w:val="00F202C5"/>
    <w:rsid w:val="00F20508"/>
    <w:rsid w:val="00F2140C"/>
    <w:rsid w:val="00F23066"/>
    <w:rsid w:val="00F24129"/>
    <w:rsid w:val="00F253B8"/>
    <w:rsid w:val="00F255B0"/>
    <w:rsid w:val="00F3214F"/>
    <w:rsid w:val="00F32849"/>
    <w:rsid w:val="00F34743"/>
    <w:rsid w:val="00F35FAA"/>
    <w:rsid w:val="00F36720"/>
    <w:rsid w:val="00F37D9D"/>
    <w:rsid w:val="00F41DC2"/>
    <w:rsid w:val="00F41F9E"/>
    <w:rsid w:val="00F42D13"/>
    <w:rsid w:val="00F43EDC"/>
    <w:rsid w:val="00F456F1"/>
    <w:rsid w:val="00F46B0D"/>
    <w:rsid w:val="00F507D8"/>
    <w:rsid w:val="00F50E46"/>
    <w:rsid w:val="00F52785"/>
    <w:rsid w:val="00F535DE"/>
    <w:rsid w:val="00F579DC"/>
    <w:rsid w:val="00F60165"/>
    <w:rsid w:val="00F60683"/>
    <w:rsid w:val="00F62F9A"/>
    <w:rsid w:val="00F65DD9"/>
    <w:rsid w:val="00F7006D"/>
    <w:rsid w:val="00F7029C"/>
    <w:rsid w:val="00F740B7"/>
    <w:rsid w:val="00F8075B"/>
    <w:rsid w:val="00F80BCA"/>
    <w:rsid w:val="00F81394"/>
    <w:rsid w:val="00F83864"/>
    <w:rsid w:val="00F85AD1"/>
    <w:rsid w:val="00F85D41"/>
    <w:rsid w:val="00F868B1"/>
    <w:rsid w:val="00F91C5C"/>
    <w:rsid w:val="00F92FD4"/>
    <w:rsid w:val="00F94331"/>
    <w:rsid w:val="00FA035A"/>
    <w:rsid w:val="00FA3130"/>
    <w:rsid w:val="00FA4509"/>
    <w:rsid w:val="00FA67E0"/>
    <w:rsid w:val="00FB0555"/>
    <w:rsid w:val="00FB0DB8"/>
    <w:rsid w:val="00FB1171"/>
    <w:rsid w:val="00FB6D23"/>
    <w:rsid w:val="00FC0886"/>
    <w:rsid w:val="00FC204A"/>
    <w:rsid w:val="00FC6319"/>
    <w:rsid w:val="00FC65BD"/>
    <w:rsid w:val="00FC77AB"/>
    <w:rsid w:val="00FD1C4E"/>
    <w:rsid w:val="00FD23B5"/>
    <w:rsid w:val="00FD4EB3"/>
    <w:rsid w:val="00FD545F"/>
    <w:rsid w:val="00FD5F9F"/>
    <w:rsid w:val="00FD7546"/>
    <w:rsid w:val="00FD7B45"/>
    <w:rsid w:val="00FD7E3B"/>
    <w:rsid w:val="00FE1E2C"/>
    <w:rsid w:val="00FE714B"/>
    <w:rsid w:val="00FE7F95"/>
    <w:rsid w:val="00FF15AD"/>
    <w:rsid w:val="00FF1BC7"/>
    <w:rsid w:val="00FF339A"/>
    <w:rsid w:val="00FF485D"/>
    <w:rsid w:val="00FF5293"/>
    <w:rsid w:val="00FF57AC"/>
    <w:rsid w:val="00FF70C0"/>
    <w:rsid w:val="00FF7A36"/>
    <w:rsid w:val="00FF7A8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colormru v:ext="edit" colors="#024182"/>
    </o:shapedefaults>
    <o:shapelayout v:ext="edit">
      <o:idmap v:ext="edit" data="1"/>
    </o:shapelayout>
  </w:shapeDefaults>
  <w:decimalSymbol w:val=","/>
  <w:listSeparator w:val=";"/>
  <w14:docId w14:val="1B535D32"/>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character" w:styleId="Hyperlink">
    <w:name w:val="Hyperlink"/>
    <w:basedOn w:val="DefaultParagraphFont"/>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paragraph" w:styleId="ListParagraph">
    <w:name w:val="List Paragraph"/>
    <w:basedOn w:val="Normal"/>
    <w:link w:val="ListParagraphChar"/>
    <w:uiPriority w:val="34"/>
    <w:qFormat/>
    <w:rsid w:val="005F41EF"/>
    <w:pPr>
      <w:ind w:left="720"/>
      <w:contextualSpacing/>
    </w:pPr>
  </w:style>
  <w:style w:type="character" w:styleId="CommentReference">
    <w:name w:val="annotation reference"/>
    <w:basedOn w:val="DefaultParagraphFont"/>
    <w:semiHidden/>
    <w:unhideWhenUsed/>
    <w:rsid w:val="00CE0FAA"/>
    <w:rPr>
      <w:sz w:val="16"/>
      <w:szCs w:val="16"/>
    </w:rPr>
  </w:style>
  <w:style w:type="paragraph" w:styleId="CommentText">
    <w:name w:val="annotation text"/>
    <w:basedOn w:val="Normal"/>
    <w:link w:val="CommentTextChar"/>
    <w:unhideWhenUsed/>
    <w:rsid w:val="00CE0FAA"/>
    <w:rPr>
      <w:sz w:val="20"/>
      <w:szCs w:val="20"/>
    </w:rPr>
  </w:style>
  <w:style w:type="character" w:customStyle="1" w:styleId="CommentTextChar">
    <w:name w:val="Comment Text Char"/>
    <w:basedOn w:val="DefaultParagraphFont"/>
    <w:link w:val="CommentText"/>
    <w:rsid w:val="00CE0FAA"/>
  </w:style>
  <w:style w:type="paragraph" w:styleId="CommentSubject">
    <w:name w:val="annotation subject"/>
    <w:basedOn w:val="CommentText"/>
    <w:next w:val="CommentText"/>
    <w:link w:val="CommentSubjectChar"/>
    <w:semiHidden/>
    <w:unhideWhenUsed/>
    <w:rsid w:val="00CE0FAA"/>
    <w:rPr>
      <w:b/>
      <w:bCs/>
    </w:rPr>
  </w:style>
  <w:style w:type="character" w:customStyle="1" w:styleId="CommentSubjectChar">
    <w:name w:val="Comment Subject Char"/>
    <w:basedOn w:val="CommentTextChar"/>
    <w:link w:val="CommentSubject"/>
    <w:semiHidden/>
    <w:rsid w:val="00CE0FAA"/>
    <w:rPr>
      <w:b/>
      <w:bCs/>
    </w:rPr>
  </w:style>
  <w:style w:type="paragraph" w:styleId="Revision">
    <w:name w:val="Revision"/>
    <w:hidden/>
    <w:uiPriority w:val="99"/>
    <w:semiHidden/>
    <w:rsid w:val="00B820C8"/>
    <w:rPr>
      <w:sz w:val="24"/>
      <w:szCs w:val="24"/>
    </w:rPr>
  </w:style>
  <w:style w:type="paragraph" w:styleId="FootnoteText">
    <w:name w:val="footnote text"/>
    <w:basedOn w:val="Normal"/>
    <w:link w:val="FootnoteTextChar"/>
    <w:unhideWhenUsed/>
    <w:rsid w:val="00BD3718"/>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rsid w:val="00BD3718"/>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BD3718"/>
    <w:rPr>
      <w:vertAlign w:val="superscript"/>
    </w:rPr>
  </w:style>
  <w:style w:type="paragraph" w:styleId="NormalWeb">
    <w:name w:val="Normal (Web)"/>
    <w:basedOn w:val="Normal"/>
    <w:uiPriority w:val="99"/>
    <w:semiHidden/>
    <w:unhideWhenUsed/>
    <w:rsid w:val="00480421"/>
    <w:pPr>
      <w:spacing w:before="100" w:beforeAutospacing="1" w:after="100" w:afterAutospacing="1"/>
    </w:pPr>
    <w:rPr>
      <w:lang w:val="en-GB" w:eastAsia="en-GB"/>
    </w:rPr>
  </w:style>
  <w:style w:type="character" w:customStyle="1" w:styleId="ListParagraphChar">
    <w:name w:val="List Paragraph Char"/>
    <w:link w:val="ListParagraph"/>
    <w:uiPriority w:val="34"/>
    <w:rsid w:val="0018668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6368">
      <w:bodyDiv w:val="1"/>
      <w:marLeft w:val="0"/>
      <w:marRight w:val="0"/>
      <w:marTop w:val="0"/>
      <w:marBottom w:val="0"/>
      <w:divBdr>
        <w:top w:val="none" w:sz="0" w:space="0" w:color="auto"/>
        <w:left w:val="none" w:sz="0" w:space="0" w:color="auto"/>
        <w:bottom w:val="none" w:sz="0" w:space="0" w:color="auto"/>
        <w:right w:val="none" w:sz="0" w:space="0" w:color="auto"/>
      </w:divBdr>
      <w:divsChild>
        <w:div w:id="974792693">
          <w:marLeft w:val="0"/>
          <w:marRight w:val="0"/>
          <w:marTop w:val="0"/>
          <w:marBottom w:val="0"/>
          <w:divBdr>
            <w:top w:val="none" w:sz="0" w:space="0" w:color="auto"/>
            <w:left w:val="none" w:sz="0" w:space="0" w:color="auto"/>
            <w:bottom w:val="none" w:sz="0" w:space="0" w:color="auto"/>
            <w:right w:val="none" w:sz="0" w:space="0" w:color="auto"/>
          </w:divBdr>
        </w:div>
      </w:divsChild>
    </w:div>
    <w:div w:id="129632782">
      <w:bodyDiv w:val="1"/>
      <w:marLeft w:val="0"/>
      <w:marRight w:val="0"/>
      <w:marTop w:val="0"/>
      <w:marBottom w:val="0"/>
      <w:divBdr>
        <w:top w:val="none" w:sz="0" w:space="0" w:color="auto"/>
        <w:left w:val="none" w:sz="0" w:space="0" w:color="auto"/>
        <w:bottom w:val="none" w:sz="0" w:space="0" w:color="auto"/>
        <w:right w:val="none" w:sz="0" w:space="0" w:color="auto"/>
      </w:divBdr>
      <w:divsChild>
        <w:div w:id="362364857">
          <w:marLeft w:val="0"/>
          <w:marRight w:val="0"/>
          <w:marTop w:val="0"/>
          <w:marBottom w:val="0"/>
          <w:divBdr>
            <w:top w:val="none" w:sz="0" w:space="0" w:color="auto"/>
            <w:left w:val="none" w:sz="0" w:space="0" w:color="auto"/>
            <w:bottom w:val="none" w:sz="0" w:space="0" w:color="auto"/>
            <w:right w:val="none" w:sz="0" w:space="0" w:color="auto"/>
          </w:divBdr>
        </w:div>
        <w:div w:id="950162354">
          <w:marLeft w:val="0"/>
          <w:marRight w:val="0"/>
          <w:marTop w:val="0"/>
          <w:marBottom w:val="0"/>
          <w:divBdr>
            <w:top w:val="none" w:sz="0" w:space="0" w:color="auto"/>
            <w:left w:val="none" w:sz="0" w:space="0" w:color="auto"/>
            <w:bottom w:val="none" w:sz="0" w:space="0" w:color="auto"/>
            <w:right w:val="none" w:sz="0" w:space="0" w:color="auto"/>
          </w:divBdr>
        </w:div>
        <w:div w:id="985206979">
          <w:marLeft w:val="0"/>
          <w:marRight w:val="0"/>
          <w:marTop w:val="0"/>
          <w:marBottom w:val="0"/>
          <w:divBdr>
            <w:top w:val="none" w:sz="0" w:space="0" w:color="auto"/>
            <w:left w:val="none" w:sz="0" w:space="0" w:color="auto"/>
            <w:bottom w:val="none" w:sz="0" w:space="0" w:color="auto"/>
            <w:right w:val="none" w:sz="0" w:space="0" w:color="auto"/>
          </w:divBdr>
        </w:div>
      </w:divsChild>
    </w:div>
    <w:div w:id="292102377">
      <w:bodyDiv w:val="1"/>
      <w:marLeft w:val="0"/>
      <w:marRight w:val="0"/>
      <w:marTop w:val="0"/>
      <w:marBottom w:val="0"/>
      <w:divBdr>
        <w:top w:val="none" w:sz="0" w:space="0" w:color="auto"/>
        <w:left w:val="none" w:sz="0" w:space="0" w:color="auto"/>
        <w:bottom w:val="none" w:sz="0" w:space="0" w:color="auto"/>
        <w:right w:val="none" w:sz="0" w:space="0" w:color="auto"/>
      </w:divBdr>
      <w:divsChild>
        <w:div w:id="762191828">
          <w:marLeft w:val="0"/>
          <w:marRight w:val="0"/>
          <w:marTop w:val="0"/>
          <w:marBottom w:val="0"/>
          <w:divBdr>
            <w:top w:val="none" w:sz="0" w:space="0" w:color="auto"/>
            <w:left w:val="none" w:sz="0" w:space="0" w:color="auto"/>
            <w:bottom w:val="none" w:sz="0" w:space="0" w:color="auto"/>
            <w:right w:val="none" w:sz="0" w:space="0" w:color="auto"/>
          </w:divBdr>
        </w:div>
      </w:divsChild>
    </w:div>
    <w:div w:id="323900640">
      <w:bodyDiv w:val="1"/>
      <w:marLeft w:val="0"/>
      <w:marRight w:val="0"/>
      <w:marTop w:val="0"/>
      <w:marBottom w:val="0"/>
      <w:divBdr>
        <w:top w:val="none" w:sz="0" w:space="0" w:color="auto"/>
        <w:left w:val="none" w:sz="0" w:space="0" w:color="auto"/>
        <w:bottom w:val="none" w:sz="0" w:space="0" w:color="auto"/>
        <w:right w:val="none" w:sz="0" w:space="0" w:color="auto"/>
      </w:divBdr>
      <w:divsChild>
        <w:div w:id="671370399">
          <w:marLeft w:val="0"/>
          <w:marRight w:val="0"/>
          <w:marTop w:val="0"/>
          <w:marBottom w:val="0"/>
          <w:divBdr>
            <w:top w:val="none" w:sz="0" w:space="0" w:color="auto"/>
            <w:left w:val="none" w:sz="0" w:space="0" w:color="auto"/>
            <w:bottom w:val="none" w:sz="0" w:space="0" w:color="auto"/>
            <w:right w:val="none" w:sz="0" w:space="0" w:color="auto"/>
          </w:divBdr>
        </w:div>
      </w:divsChild>
    </w:div>
    <w:div w:id="405347418">
      <w:bodyDiv w:val="1"/>
      <w:marLeft w:val="0"/>
      <w:marRight w:val="0"/>
      <w:marTop w:val="0"/>
      <w:marBottom w:val="0"/>
      <w:divBdr>
        <w:top w:val="none" w:sz="0" w:space="0" w:color="auto"/>
        <w:left w:val="none" w:sz="0" w:space="0" w:color="auto"/>
        <w:bottom w:val="none" w:sz="0" w:space="0" w:color="auto"/>
        <w:right w:val="none" w:sz="0" w:space="0" w:color="auto"/>
      </w:divBdr>
      <w:divsChild>
        <w:div w:id="1253658937">
          <w:marLeft w:val="0"/>
          <w:marRight w:val="0"/>
          <w:marTop w:val="0"/>
          <w:marBottom w:val="0"/>
          <w:divBdr>
            <w:top w:val="none" w:sz="0" w:space="0" w:color="auto"/>
            <w:left w:val="none" w:sz="0" w:space="0" w:color="auto"/>
            <w:bottom w:val="none" w:sz="0" w:space="0" w:color="auto"/>
            <w:right w:val="none" w:sz="0" w:space="0" w:color="auto"/>
          </w:divBdr>
        </w:div>
      </w:divsChild>
    </w:div>
    <w:div w:id="408501251">
      <w:bodyDiv w:val="1"/>
      <w:marLeft w:val="0"/>
      <w:marRight w:val="0"/>
      <w:marTop w:val="0"/>
      <w:marBottom w:val="0"/>
      <w:divBdr>
        <w:top w:val="none" w:sz="0" w:space="0" w:color="auto"/>
        <w:left w:val="none" w:sz="0" w:space="0" w:color="auto"/>
        <w:bottom w:val="none" w:sz="0" w:space="0" w:color="auto"/>
        <w:right w:val="none" w:sz="0" w:space="0" w:color="auto"/>
      </w:divBdr>
      <w:divsChild>
        <w:div w:id="438456363">
          <w:marLeft w:val="0"/>
          <w:marRight w:val="0"/>
          <w:marTop w:val="0"/>
          <w:marBottom w:val="0"/>
          <w:divBdr>
            <w:top w:val="none" w:sz="0" w:space="0" w:color="auto"/>
            <w:left w:val="none" w:sz="0" w:space="0" w:color="auto"/>
            <w:bottom w:val="none" w:sz="0" w:space="0" w:color="auto"/>
            <w:right w:val="none" w:sz="0" w:space="0" w:color="auto"/>
          </w:divBdr>
        </w:div>
      </w:divsChild>
    </w:div>
    <w:div w:id="441265327">
      <w:bodyDiv w:val="1"/>
      <w:marLeft w:val="0"/>
      <w:marRight w:val="0"/>
      <w:marTop w:val="0"/>
      <w:marBottom w:val="0"/>
      <w:divBdr>
        <w:top w:val="none" w:sz="0" w:space="0" w:color="auto"/>
        <w:left w:val="none" w:sz="0" w:space="0" w:color="auto"/>
        <w:bottom w:val="none" w:sz="0" w:space="0" w:color="auto"/>
        <w:right w:val="none" w:sz="0" w:space="0" w:color="auto"/>
      </w:divBdr>
    </w:div>
    <w:div w:id="526144355">
      <w:bodyDiv w:val="1"/>
      <w:marLeft w:val="0"/>
      <w:marRight w:val="0"/>
      <w:marTop w:val="0"/>
      <w:marBottom w:val="0"/>
      <w:divBdr>
        <w:top w:val="none" w:sz="0" w:space="0" w:color="auto"/>
        <w:left w:val="none" w:sz="0" w:space="0" w:color="auto"/>
        <w:bottom w:val="none" w:sz="0" w:space="0" w:color="auto"/>
        <w:right w:val="none" w:sz="0" w:space="0" w:color="auto"/>
      </w:divBdr>
      <w:divsChild>
        <w:div w:id="1319647373">
          <w:marLeft w:val="0"/>
          <w:marRight w:val="0"/>
          <w:marTop w:val="0"/>
          <w:marBottom w:val="0"/>
          <w:divBdr>
            <w:top w:val="none" w:sz="0" w:space="0" w:color="auto"/>
            <w:left w:val="none" w:sz="0" w:space="0" w:color="auto"/>
            <w:bottom w:val="none" w:sz="0" w:space="0" w:color="auto"/>
            <w:right w:val="none" w:sz="0" w:space="0" w:color="auto"/>
          </w:divBdr>
        </w:div>
      </w:divsChild>
    </w:div>
    <w:div w:id="598099551">
      <w:bodyDiv w:val="1"/>
      <w:marLeft w:val="0"/>
      <w:marRight w:val="0"/>
      <w:marTop w:val="0"/>
      <w:marBottom w:val="0"/>
      <w:divBdr>
        <w:top w:val="none" w:sz="0" w:space="0" w:color="auto"/>
        <w:left w:val="none" w:sz="0" w:space="0" w:color="auto"/>
        <w:bottom w:val="none" w:sz="0" w:space="0" w:color="auto"/>
        <w:right w:val="none" w:sz="0" w:space="0" w:color="auto"/>
      </w:divBdr>
      <w:divsChild>
        <w:div w:id="1023869269">
          <w:marLeft w:val="0"/>
          <w:marRight w:val="0"/>
          <w:marTop w:val="0"/>
          <w:marBottom w:val="0"/>
          <w:divBdr>
            <w:top w:val="none" w:sz="0" w:space="0" w:color="auto"/>
            <w:left w:val="none" w:sz="0" w:space="0" w:color="auto"/>
            <w:bottom w:val="none" w:sz="0" w:space="0" w:color="auto"/>
            <w:right w:val="none" w:sz="0" w:space="0" w:color="auto"/>
          </w:divBdr>
        </w:div>
      </w:divsChild>
    </w:div>
    <w:div w:id="720401030">
      <w:bodyDiv w:val="1"/>
      <w:marLeft w:val="0"/>
      <w:marRight w:val="0"/>
      <w:marTop w:val="0"/>
      <w:marBottom w:val="0"/>
      <w:divBdr>
        <w:top w:val="none" w:sz="0" w:space="0" w:color="auto"/>
        <w:left w:val="none" w:sz="0" w:space="0" w:color="auto"/>
        <w:bottom w:val="none" w:sz="0" w:space="0" w:color="auto"/>
        <w:right w:val="none" w:sz="0" w:space="0" w:color="auto"/>
      </w:divBdr>
      <w:divsChild>
        <w:div w:id="1281835908">
          <w:marLeft w:val="0"/>
          <w:marRight w:val="0"/>
          <w:marTop w:val="0"/>
          <w:marBottom w:val="0"/>
          <w:divBdr>
            <w:top w:val="none" w:sz="0" w:space="0" w:color="auto"/>
            <w:left w:val="none" w:sz="0" w:space="0" w:color="auto"/>
            <w:bottom w:val="none" w:sz="0" w:space="0" w:color="auto"/>
            <w:right w:val="none" w:sz="0" w:space="0" w:color="auto"/>
          </w:divBdr>
        </w:div>
      </w:divsChild>
    </w:div>
    <w:div w:id="738407233">
      <w:bodyDiv w:val="1"/>
      <w:marLeft w:val="0"/>
      <w:marRight w:val="0"/>
      <w:marTop w:val="0"/>
      <w:marBottom w:val="0"/>
      <w:divBdr>
        <w:top w:val="none" w:sz="0" w:space="0" w:color="auto"/>
        <w:left w:val="none" w:sz="0" w:space="0" w:color="auto"/>
        <w:bottom w:val="none" w:sz="0" w:space="0" w:color="auto"/>
        <w:right w:val="none" w:sz="0" w:space="0" w:color="auto"/>
      </w:divBdr>
      <w:divsChild>
        <w:div w:id="1844543358">
          <w:marLeft w:val="0"/>
          <w:marRight w:val="0"/>
          <w:marTop w:val="0"/>
          <w:marBottom w:val="0"/>
          <w:divBdr>
            <w:top w:val="none" w:sz="0" w:space="0" w:color="auto"/>
            <w:left w:val="none" w:sz="0" w:space="0" w:color="auto"/>
            <w:bottom w:val="none" w:sz="0" w:space="0" w:color="auto"/>
            <w:right w:val="none" w:sz="0" w:space="0" w:color="auto"/>
          </w:divBdr>
        </w:div>
      </w:divsChild>
    </w:div>
    <w:div w:id="1112744393">
      <w:bodyDiv w:val="1"/>
      <w:marLeft w:val="0"/>
      <w:marRight w:val="0"/>
      <w:marTop w:val="0"/>
      <w:marBottom w:val="0"/>
      <w:divBdr>
        <w:top w:val="none" w:sz="0" w:space="0" w:color="auto"/>
        <w:left w:val="none" w:sz="0" w:space="0" w:color="auto"/>
        <w:bottom w:val="none" w:sz="0" w:space="0" w:color="auto"/>
        <w:right w:val="none" w:sz="0" w:space="0" w:color="auto"/>
      </w:divBdr>
      <w:divsChild>
        <w:div w:id="1920628129">
          <w:marLeft w:val="0"/>
          <w:marRight w:val="0"/>
          <w:marTop w:val="0"/>
          <w:marBottom w:val="0"/>
          <w:divBdr>
            <w:top w:val="none" w:sz="0" w:space="0" w:color="auto"/>
            <w:left w:val="none" w:sz="0" w:space="0" w:color="auto"/>
            <w:bottom w:val="none" w:sz="0" w:space="0" w:color="auto"/>
            <w:right w:val="none" w:sz="0" w:space="0" w:color="auto"/>
          </w:divBdr>
        </w:div>
      </w:divsChild>
    </w:div>
    <w:div w:id="1113285338">
      <w:bodyDiv w:val="1"/>
      <w:marLeft w:val="0"/>
      <w:marRight w:val="0"/>
      <w:marTop w:val="0"/>
      <w:marBottom w:val="0"/>
      <w:divBdr>
        <w:top w:val="none" w:sz="0" w:space="0" w:color="auto"/>
        <w:left w:val="none" w:sz="0" w:space="0" w:color="auto"/>
        <w:bottom w:val="none" w:sz="0" w:space="0" w:color="auto"/>
        <w:right w:val="none" w:sz="0" w:space="0" w:color="auto"/>
      </w:divBdr>
      <w:divsChild>
        <w:div w:id="597442683">
          <w:marLeft w:val="0"/>
          <w:marRight w:val="0"/>
          <w:marTop w:val="0"/>
          <w:marBottom w:val="0"/>
          <w:divBdr>
            <w:top w:val="none" w:sz="0" w:space="0" w:color="auto"/>
            <w:left w:val="none" w:sz="0" w:space="0" w:color="auto"/>
            <w:bottom w:val="none" w:sz="0" w:space="0" w:color="auto"/>
            <w:right w:val="none" w:sz="0" w:space="0" w:color="auto"/>
          </w:divBdr>
        </w:div>
      </w:divsChild>
    </w:div>
    <w:div w:id="1116831500">
      <w:bodyDiv w:val="1"/>
      <w:marLeft w:val="0"/>
      <w:marRight w:val="0"/>
      <w:marTop w:val="0"/>
      <w:marBottom w:val="0"/>
      <w:divBdr>
        <w:top w:val="none" w:sz="0" w:space="0" w:color="auto"/>
        <w:left w:val="none" w:sz="0" w:space="0" w:color="auto"/>
        <w:bottom w:val="none" w:sz="0" w:space="0" w:color="auto"/>
        <w:right w:val="none" w:sz="0" w:space="0" w:color="auto"/>
      </w:divBdr>
    </w:div>
    <w:div w:id="1169442655">
      <w:bodyDiv w:val="1"/>
      <w:marLeft w:val="0"/>
      <w:marRight w:val="0"/>
      <w:marTop w:val="0"/>
      <w:marBottom w:val="0"/>
      <w:divBdr>
        <w:top w:val="none" w:sz="0" w:space="0" w:color="auto"/>
        <w:left w:val="none" w:sz="0" w:space="0" w:color="auto"/>
        <w:bottom w:val="none" w:sz="0" w:space="0" w:color="auto"/>
        <w:right w:val="none" w:sz="0" w:space="0" w:color="auto"/>
      </w:divBdr>
    </w:div>
    <w:div w:id="1334800435">
      <w:bodyDiv w:val="1"/>
      <w:marLeft w:val="0"/>
      <w:marRight w:val="0"/>
      <w:marTop w:val="0"/>
      <w:marBottom w:val="0"/>
      <w:divBdr>
        <w:top w:val="none" w:sz="0" w:space="0" w:color="auto"/>
        <w:left w:val="none" w:sz="0" w:space="0" w:color="auto"/>
        <w:bottom w:val="none" w:sz="0" w:space="0" w:color="auto"/>
        <w:right w:val="none" w:sz="0" w:space="0" w:color="auto"/>
      </w:divBdr>
      <w:divsChild>
        <w:div w:id="884608053">
          <w:marLeft w:val="0"/>
          <w:marRight w:val="0"/>
          <w:marTop w:val="0"/>
          <w:marBottom w:val="0"/>
          <w:divBdr>
            <w:top w:val="none" w:sz="0" w:space="0" w:color="auto"/>
            <w:left w:val="none" w:sz="0" w:space="0" w:color="auto"/>
            <w:bottom w:val="none" w:sz="0" w:space="0" w:color="auto"/>
            <w:right w:val="none" w:sz="0" w:space="0" w:color="auto"/>
          </w:divBdr>
        </w:div>
      </w:divsChild>
    </w:div>
    <w:div w:id="1354454442">
      <w:bodyDiv w:val="1"/>
      <w:marLeft w:val="0"/>
      <w:marRight w:val="0"/>
      <w:marTop w:val="0"/>
      <w:marBottom w:val="0"/>
      <w:divBdr>
        <w:top w:val="none" w:sz="0" w:space="0" w:color="auto"/>
        <w:left w:val="none" w:sz="0" w:space="0" w:color="auto"/>
        <w:bottom w:val="none" w:sz="0" w:space="0" w:color="auto"/>
        <w:right w:val="none" w:sz="0" w:space="0" w:color="auto"/>
      </w:divBdr>
    </w:div>
    <w:div w:id="1442341341">
      <w:bodyDiv w:val="1"/>
      <w:marLeft w:val="0"/>
      <w:marRight w:val="0"/>
      <w:marTop w:val="0"/>
      <w:marBottom w:val="0"/>
      <w:divBdr>
        <w:top w:val="none" w:sz="0" w:space="0" w:color="auto"/>
        <w:left w:val="none" w:sz="0" w:space="0" w:color="auto"/>
        <w:bottom w:val="none" w:sz="0" w:space="0" w:color="auto"/>
        <w:right w:val="none" w:sz="0" w:space="0" w:color="auto"/>
      </w:divBdr>
      <w:divsChild>
        <w:div w:id="45491798">
          <w:marLeft w:val="0"/>
          <w:marRight w:val="0"/>
          <w:marTop w:val="0"/>
          <w:marBottom w:val="0"/>
          <w:divBdr>
            <w:top w:val="none" w:sz="0" w:space="0" w:color="auto"/>
            <w:left w:val="none" w:sz="0" w:space="0" w:color="auto"/>
            <w:bottom w:val="none" w:sz="0" w:space="0" w:color="auto"/>
            <w:right w:val="none" w:sz="0" w:space="0" w:color="auto"/>
          </w:divBdr>
        </w:div>
      </w:divsChild>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25766450">
      <w:bodyDiv w:val="1"/>
      <w:marLeft w:val="0"/>
      <w:marRight w:val="0"/>
      <w:marTop w:val="0"/>
      <w:marBottom w:val="0"/>
      <w:divBdr>
        <w:top w:val="none" w:sz="0" w:space="0" w:color="auto"/>
        <w:left w:val="none" w:sz="0" w:space="0" w:color="auto"/>
        <w:bottom w:val="none" w:sz="0" w:space="0" w:color="auto"/>
        <w:right w:val="none" w:sz="0" w:space="0" w:color="auto"/>
      </w:divBdr>
    </w:div>
    <w:div w:id="1693217358">
      <w:bodyDiv w:val="1"/>
      <w:marLeft w:val="0"/>
      <w:marRight w:val="0"/>
      <w:marTop w:val="0"/>
      <w:marBottom w:val="0"/>
      <w:divBdr>
        <w:top w:val="none" w:sz="0" w:space="0" w:color="auto"/>
        <w:left w:val="none" w:sz="0" w:space="0" w:color="auto"/>
        <w:bottom w:val="none" w:sz="0" w:space="0" w:color="auto"/>
        <w:right w:val="none" w:sz="0" w:space="0" w:color="auto"/>
      </w:divBdr>
      <w:divsChild>
        <w:div w:id="1020202338">
          <w:marLeft w:val="0"/>
          <w:marRight w:val="0"/>
          <w:marTop w:val="0"/>
          <w:marBottom w:val="0"/>
          <w:divBdr>
            <w:top w:val="none" w:sz="0" w:space="0" w:color="auto"/>
            <w:left w:val="none" w:sz="0" w:space="0" w:color="auto"/>
            <w:bottom w:val="none" w:sz="0" w:space="0" w:color="auto"/>
            <w:right w:val="none" w:sz="0" w:space="0" w:color="auto"/>
          </w:divBdr>
        </w:div>
      </w:divsChild>
    </w:div>
    <w:div w:id="1701857176">
      <w:bodyDiv w:val="1"/>
      <w:marLeft w:val="0"/>
      <w:marRight w:val="0"/>
      <w:marTop w:val="0"/>
      <w:marBottom w:val="0"/>
      <w:divBdr>
        <w:top w:val="none" w:sz="0" w:space="0" w:color="auto"/>
        <w:left w:val="none" w:sz="0" w:space="0" w:color="auto"/>
        <w:bottom w:val="none" w:sz="0" w:space="0" w:color="auto"/>
        <w:right w:val="none" w:sz="0" w:space="0" w:color="auto"/>
      </w:divBdr>
      <w:divsChild>
        <w:div w:id="1971398304">
          <w:marLeft w:val="0"/>
          <w:marRight w:val="0"/>
          <w:marTop w:val="0"/>
          <w:marBottom w:val="0"/>
          <w:divBdr>
            <w:top w:val="none" w:sz="0" w:space="0" w:color="auto"/>
            <w:left w:val="none" w:sz="0" w:space="0" w:color="auto"/>
            <w:bottom w:val="none" w:sz="0" w:space="0" w:color="auto"/>
            <w:right w:val="none" w:sz="0" w:space="0" w:color="auto"/>
          </w:divBdr>
        </w:div>
      </w:divsChild>
    </w:div>
    <w:div w:id="1803841169">
      <w:bodyDiv w:val="1"/>
      <w:marLeft w:val="0"/>
      <w:marRight w:val="0"/>
      <w:marTop w:val="0"/>
      <w:marBottom w:val="0"/>
      <w:divBdr>
        <w:top w:val="none" w:sz="0" w:space="0" w:color="auto"/>
        <w:left w:val="none" w:sz="0" w:space="0" w:color="auto"/>
        <w:bottom w:val="none" w:sz="0" w:space="0" w:color="auto"/>
        <w:right w:val="none" w:sz="0" w:space="0" w:color="auto"/>
      </w:divBdr>
    </w:div>
    <w:div w:id="1970427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Marina Brkljačić</DisplayName>
        <AccountId>63</AccountId>
        <AccountType/>
      </UserInfo>
      <UserInfo>
        <DisplayName>Božidar Ister</DisplayName>
        <AccountId>72</AccountId>
        <AccountType/>
      </UserInfo>
      <UserInfo>
        <DisplayName>Petra Slivnjak</DisplayName>
        <AccountId>229</AccountId>
        <AccountType/>
      </UserInfo>
      <UserInfo>
        <DisplayName>Andro Marčev</DisplayName>
        <AccountId>122</AccountId>
        <AccountType/>
      </UserInfo>
      <UserInfo>
        <DisplayName>Iva Filipović</DisplayName>
        <AccountId>103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8CDA11-5DF2-4C80-BE45-0C127BAF22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7EB6945B-9DB6-418A-824E-F9B948076F14}">
  <ds:schemaRefs>
    <ds:schemaRef ds:uri="http://schemas.openxmlformats.org/package/2006/metadata/core-properties"/>
    <ds:schemaRef ds:uri="http://www.w3.org/XML/1998/namespace"/>
    <ds:schemaRef ds:uri="f45d8b5b-b624-41fb-afb8-da03212d0f19"/>
    <ds:schemaRef ds:uri="http://schemas.microsoft.com/office/2006/documentManagement/types"/>
    <ds:schemaRef ds:uri="http://purl.org/dc/terms/"/>
    <ds:schemaRef ds:uri="http://purl.org/dc/elements/1.1/"/>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6636CDA-FF2F-47E6-9DE2-1B88C12FF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5744</Words>
  <Characters>32741</Characters>
  <Application>Microsoft Office Word</Application>
  <DocSecurity>0</DocSecurity>
  <Lines>272</Lines>
  <Paragraphs>76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Manager>Mirjana Todorić</Manager>
  <Company>HAKOM</Company>
  <LinksUpToDate>false</LinksUpToDate>
  <CharactersWithSpaces>38409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Iva Filipović</cp:lastModifiedBy>
  <cp:revision>2</cp:revision>
  <cp:lastPrinted>2025-10-01T06:53:00Z</cp:lastPrinted>
  <dcterms:created xsi:type="dcterms:W3CDTF">2026-06-18T09:32:00Z</dcterms:created>
  <dcterms:modified xsi:type="dcterms:W3CDTF">2026-06-18T09:32:00Z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