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A9573" w14:textId="77777777" w:rsidR="004D4D87" w:rsidRDefault="004D4D87" w:rsidP="00D50995">
      <w:pPr>
        <w:pStyle w:val="Osnovnifont"/>
      </w:pPr>
    </w:p>
    <w:p w14:paraId="7B707465" w14:textId="1C5828F2" w:rsidR="004D4D87" w:rsidRDefault="004D4D87" w:rsidP="00D50995">
      <w:pPr>
        <w:pStyle w:val="Osnovnifont"/>
      </w:pPr>
    </w:p>
    <w:p w14:paraId="7D278D53" w14:textId="20302D78" w:rsidR="004D4D87" w:rsidRDefault="004D4D87" w:rsidP="00D50995">
      <w:pPr>
        <w:pStyle w:val="Osnovnifont"/>
      </w:pPr>
    </w:p>
    <w:p w14:paraId="734D1C39" w14:textId="5C2116D3" w:rsidR="004D4D87" w:rsidRDefault="004D4D87" w:rsidP="00D50995">
      <w:pPr>
        <w:pStyle w:val="Osnovnifont"/>
      </w:pPr>
    </w:p>
    <w:p w14:paraId="6B260645" w14:textId="7E7C5FD6" w:rsidR="004D4D87" w:rsidRDefault="004D4D87" w:rsidP="00D50995">
      <w:pPr>
        <w:pStyle w:val="Osnovnifont"/>
      </w:pPr>
    </w:p>
    <w:p w14:paraId="4A9071C0" w14:textId="34BEFAED" w:rsidR="001729CF" w:rsidRDefault="00D41F15" w:rsidP="00D41F15">
      <w:pPr>
        <w:pStyle w:val="Osnovnifont"/>
        <w:spacing w:before="4000"/>
        <w:jc w:val="center"/>
      </w:pPr>
      <w:r w:rsidRPr="00D41F15">
        <w:rPr>
          <w:rStyle w:val="NaslovizvjetajaChar"/>
        </w:rPr>
        <w:t xml:space="preserve">Smjernice HAKOM-a za najave gašenja bakrene </w:t>
      </w:r>
      <w:r w:rsidR="00C03D3D">
        <w:rPr>
          <w:rStyle w:val="NaslovizvjetajaChar"/>
        </w:rPr>
        <w:t>Mrež</w:t>
      </w:r>
      <w:r w:rsidR="0038098D">
        <w:rPr>
          <w:rStyle w:val="NaslovizvjetajaChar"/>
        </w:rPr>
        <w:t>E</w:t>
      </w:r>
    </w:p>
    <w:p w14:paraId="3E414DCB" w14:textId="64594AE3" w:rsidR="001729CF" w:rsidRDefault="001729CF" w:rsidP="00D50995">
      <w:pPr>
        <w:pStyle w:val="Osnovnifont"/>
      </w:pPr>
    </w:p>
    <w:p w14:paraId="509ADB81" w14:textId="31799B60" w:rsidR="001729CF" w:rsidRDefault="001729CF" w:rsidP="00D50995">
      <w:pPr>
        <w:pStyle w:val="Osnovnifont"/>
      </w:pPr>
    </w:p>
    <w:p w14:paraId="0C9328A4" w14:textId="4340ADFD" w:rsidR="001729CF" w:rsidRDefault="001729CF" w:rsidP="00D50995">
      <w:pPr>
        <w:pStyle w:val="Osnovnifont"/>
      </w:pPr>
    </w:p>
    <w:p w14:paraId="235F9123" w14:textId="2986D80B" w:rsidR="002D5668" w:rsidRDefault="002D5668" w:rsidP="00D50995">
      <w:pPr>
        <w:pStyle w:val="Osnovnifont"/>
      </w:pPr>
    </w:p>
    <w:p w14:paraId="6D226070" w14:textId="44CCD94F" w:rsidR="00087340" w:rsidRDefault="00666F4A" w:rsidP="00D41F15">
      <w:pPr>
        <w:pStyle w:val="Tekstpodnaslova"/>
      </w:pPr>
      <w:r>
        <w:t>Prijedlog za j</w:t>
      </w:r>
      <w:r w:rsidR="00D41F15" w:rsidRPr="00D41F15">
        <w:t>avn</w:t>
      </w:r>
      <w:r w:rsidR="00B63099">
        <w:t>o savjetovanje</w:t>
      </w:r>
    </w:p>
    <w:p w14:paraId="1B939426" w14:textId="0BD6AB90" w:rsidR="00087340" w:rsidRDefault="00087340" w:rsidP="00D50995">
      <w:pPr>
        <w:pStyle w:val="Osnovnifont"/>
      </w:pPr>
    </w:p>
    <w:p w14:paraId="45807420" w14:textId="6BF3CE08" w:rsidR="000A6B2D" w:rsidRDefault="000A6B2D" w:rsidP="00D50995">
      <w:pPr>
        <w:pStyle w:val="Osnovnifont"/>
      </w:pPr>
    </w:p>
    <w:p w14:paraId="03340404" w14:textId="7D8AD1B6" w:rsidR="000A6B2D" w:rsidRDefault="000A6B2D" w:rsidP="00D50995">
      <w:pPr>
        <w:pStyle w:val="Osnovnifont"/>
      </w:pPr>
    </w:p>
    <w:p w14:paraId="519C1F2A" w14:textId="69DC2B5F" w:rsidR="000A6B2D" w:rsidRDefault="000A6B2D" w:rsidP="00D50995">
      <w:pPr>
        <w:pStyle w:val="Osnovnifont"/>
      </w:pPr>
    </w:p>
    <w:p w14:paraId="3E78D5A5" w14:textId="3CA8F7A1" w:rsidR="00D41F15" w:rsidRDefault="00D41F15" w:rsidP="00D50995">
      <w:pPr>
        <w:pStyle w:val="Osnovnifont"/>
      </w:pPr>
    </w:p>
    <w:p w14:paraId="3930A96A" w14:textId="1AE01DC1" w:rsidR="00D41F15" w:rsidRDefault="00D41F15" w:rsidP="00D50995">
      <w:pPr>
        <w:pStyle w:val="Osnovnifont"/>
      </w:pPr>
    </w:p>
    <w:p w14:paraId="22E22B37" w14:textId="59A09600" w:rsidR="00D41F15" w:rsidRDefault="00D41F15" w:rsidP="00D50995">
      <w:pPr>
        <w:pStyle w:val="Osnovnifont"/>
      </w:pPr>
    </w:p>
    <w:p w14:paraId="00A7609C" w14:textId="3031F5A6" w:rsidR="00D41F15" w:rsidRDefault="00D41F15" w:rsidP="00D50995">
      <w:pPr>
        <w:pStyle w:val="Osnovnifont"/>
      </w:pPr>
    </w:p>
    <w:p w14:paraId="07A9A4E5" w14:textId="12279E07" w:rsidR="00D41F15" w:rsidRDefault="00D41F15" w:rsidP="00D50995">
      <w:pPr>
        <w:pStyle w:val="Osnovnifont"/>
      </w:pPr>
    </w:p>
    <w:p w14:paraId="14E6308D" w14:textId="0920AE7C" w:rsidR="00D41F15" w:rsidRDefault="00D41F15" w:rsidP="00D50995">
      <w:pPr>
        <w:pStyle w:val="Osnovnifont"/>
      </w:pPr>
    </w:p>
    <w:p w14:paraId="45D26DBD" w14:textId="34C8C952" w:rsidR="00D41F15" w:rsidRDefault="00D41F15" w:rsidP="00D50995">
      <w:pPr>
        <w:pStyle w:val="Osnovnifont"/>
      </w:pPr>
    </w:p>
    <w:p w14:paraId="15E02A94" w14:textId="53CE36CC" w:rsidR="00D41F15" w:rsidRDefault="00D41F15" w:rsidP="00D50995">
      <w:pPr>
        <w:pStyle w:val="Osnovnifont"/>
      </w:pPr>
    </w:p>
    <w:p w14:paraId="29191171" w14:textId="77777777" w:rsidR="00D41F15" w:rsidRDefault="00D41F15" w:rsidP="00D50995">
      <w:pPr>
        <w:pStyle w:val="Osnovnifont"/>
      </w:pPr>
    </w:p>
    <w:p w14:paraId="24FA3571" w14:textId="2DE0E627" w:rsidR="00D41F15" w:rsidRDefault="00D41F15" w:rsidP="00D50995">
      <w:pPr>
        <w:pStyle w:val="Osnovnifont"/>
      </w:pPr>
    </w:p>
    <w:p w14:paraId="1821F1D0" w14:textId="77777777" w:rsidR="009773B0" w:rsidRDefault="009773B0" w:rsidP="00D41F15">
      <w:pPr>
        <w:pStyle w:val="Osnovnifont"/>
      </w:pPr>
    </w:p>
    <w:p w14:paraId="10BA8E62" w14:textId="77777777" w:rsidR="009773B0" w:rsidRDefault="009773B0" w:rsidP="00D41F15">
      <w:pPr>
        <w:pStyle w:val="Osnovnifont"/>
      </w:pPr>
    </w:p>
    <w:p w14:paraId="148899A0" w14:textId="0E2D534D" w:rsidR="00D41F15" w:rsidRDefault="009773B0" w:rsidP="00D41F15">
      <w:pPr>
        <w:pStyle w:val="Osnovnifont"/>
      </w:pPr>
      <w:r>
        <w:t xml:space="preserve">Datum objave:  </w:t>
      </w:r>
      <w:r w:rsidR="0006414B">
        <w:t>18. rujna 2026.</w:t>
      </w:r>
    </w:p>
    <w:p w14:paraId="2B3DF641" w14:textId="5695B60E" w:rsidR="00D41F15" w:rsidRDefault="00D41F15" w:rsidP="00D50995">
      <w:pPr>
        <w:pStyle w:val="Osnovnifont"/>
        <w:sectPr w:rsidR="00D41F15" w:rsidSect="00D75EBD">
          <w:headerReference w:type="default" r:id="rId11"/>
          <w:footerReference w:type="default" r:id="rId12"/>
          <w:headerReference w:type="first" r:id="rId13"/>
          <w:footerReference w:type="first" r:id="rId14"/>
          <w:pgSz w:w="11906" w:h="16838" w:code="9"/>
          <w:pgMar w:top="1418" w:right="1134" w:bottom="1418" w:left="1134" w:header="624" w:footer="240" w:gutter="0"/>
          <w:pgNumType w:start="1"/>
          <w:cols w:space="708"/>
          <w:titlePg/>
          <w:docGrid w:linePitch="360"/>
        </w:sectPr>
      </w:pPr>
    </w:p>
    <w:sdt>
      <w:sdtPr>
        <w:rPr>
          <w:b w:val="0"/>
          <w:sz w:val="24"/>
        </w:rPr>
        <w:id w:val="529466939"/>
        <w:docPartObj>
          <w:docPartGallery w:val="Table of Contents"/>
          <w:docPartUnique/>
        </w:docPartObj>
      </w:sdtPr>
      <w:sdtEndPr>
        <w:rPr>
          <w:bCs/>
          <w:noProof/>
        </w:rPr>
      </w:sdtEndPr>
      <w:sdtContent>
        <w:p w14:paraId="64887751" w14:textId="594BF2C5" w:rsidR="001A0DF8" w:rsidRPr="001A0DF8" w:rsidRDefault="00D32100" w:rsidP="00E965ED">
          <w:pPr>
            <w:pStyle w:val="Sadraj"/>
            <w:tabs>
              <w:tab w:val="left" w:pos="9072"/>
            </w:tabs>
          </w:pPr>
          <w:r w:rsidRPr="001A0DF8">
            <w:t>SADRŽAJ</w:t>
          </w:r>
        </w:p>
        <w:p w14:paraId="27949ECE" w14:textId="1A225012" w:rsidR="008546AB" w:rsidRDefault="00737492">
          <w:pPr>
            <w:pStyle w:val="TOC1"/>
            <w:rPr>
              <w:rFonts w:asciiTheme="minorHAnsi" w:eastAsiaTheme="minorEastAsia" w:hAnsiTheme="minorHAnsi" w:cstheme="minorBidi"/>
              <w:noProof/>
              <w:color w:val="auto"/>
              <w:sz w:val="22"/>
              <w:szCs w:val="22"/>
              <w:lang w:val="en-US" w:eastAsia="en-US"/>
            </w:rPr>
          </w:pPr>
          <w:r>
            <w:fldChar w:fldCharType="begin"/>
          </w:r>
          <w:r>
            <w:instrText xml:space="preserve"> TOC \o "1-3" \h \z \u </w:instrText>
          </w:r>
          <w:r>
            <w:fldChar w:fldCharType="separate"/>
          </w:r>
          <w:hyperlink w:anchor="_Toc239944250" w:history="1">
            <w:r w:rsidR="008546AB" w:rsidRPr="000B668F">
              <w:rPr>
                <w:rStyle w:val="Hyperlink"/>
                <w:noProof/>
              </w:rPr>
              <w:t>1.</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Uvod</w:t>
            </w:r>
            <w:r w:rsidR="008546AB">
              <w:rPr>
                <w:noProof/>
                <w:webHidden/>
              </w:rPr>
              <w:tab/>
            </w:r>
            <w:r w:rsidR="008546AB">
              <w:rPr>
                <w:noProof/>
                <w:webHidden/>
              </w:rPr>
              <w:fldChar w:fldCharType="begin"/>
            </w:r>
            <w:r w:rsidR="008546AB">
              <w:rPr>
                <w:noProof/>
                <w:webHidden/>
              </w:rPr>
              <w:instrText xml:space="preserve"> PAGEREF _Toc239944250 \h </w:instrText>
            </w:r>
            <w:r w:rsidR="008546AB">
              <w:rPr>
                <w:noProof/>
                <w:webHidden/>
              </w:rPr>
            </w:r>
            <w:r w:rsidR="008546AB">
              <w:rPr>
                <w:noProof/>
                <w:webHidden/>
              </w:rPr>
              <w:fldChar w:fldCharType="separate"/>
            </w:r>
            <w:r w:rsidR="008546AB">
              <w:rPr>
                <w:noProof/>
                <w:webHidden/>
              </w:rPr>
              <w:t>2</w:t>
            </w:r>
            <w:r w:rsidR="008546AB">
              <w:rPr>
                <w:noProof/>
                <w:webHidden/>
              </w:rPr>
              <w:fldChar w:fldCharType="end"/>
            </w:r>
          </w:hyperlink>
        </w:p>
        <w:p w14:paraId="0B9D0FEB" w14:textId="4B370379"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51" w:history="1">
            <w:r w:rsidR="008546AB" w:rsidRPr="000B668F">
              <w:rPr>
                <w:rStyle w:val="Hyperlink"/>
                <w:noProof/>
              </w:rPr>
              <w:t>2.</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Stanje na tržištu Republike Hrvatske</w:t>
            </w:r>
            <w:r w:rsidR="008546AB">
              <w:rPr>
                <w:noProof/>
                <w:webHidden/>
              </w:rPr>
              <w:tab/>
            </w:r>
            <w:r w:rsidR="008546AB">
              <w:rPr>
                <w:noProof/>
                <w:webHidden/>
              </w:rPr>
              <w:fldChar w:fldCharType="begin"/>
            </w:r>
            <w:r w:rsidR="008546AB">
              <w:rPr>
                <w:noProof/>
                <w:webHidden/>
              </w:rPr>
              <w:instrText xml:space="preserve"> PAGEREF _Toc239944251 \h </w:instrText>
            </w:r>
            <w:r w:rsidR="008546AB">
              <w:rPr>
                <w:noProof/>
                <w:webHidden/>
              </w:rPr>
            </w:r>
            <w:r w:rsidR="008546AB">
              <w:rPr>
                <w:noProof/>
                <w:webHidden/>
              </w:rPr>
              <w:fldChar w:fldCharType="separate"/>
            </w:r>
            <w:r w:rsidR="008546AB">
              <w:rPr>
                <w:noProof/>
                <w:webHidden/>
              </w:rPr>
              <w:t>4</w:t>
            </w:r>
            <w:r w:rsidR="008546AB">
              <w:rPr>
                <w:noProof/>
                <w:webHidden/>
              </w:rPr>
              <w:fldChar w:fldCharType="end"/>
            </w:r>
          </w:hyperlink>
        </w:p>
        <w:p w14:paraId="23785E00" w14:textId="00877236"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52" w:history="1">
            <w:r w:rsidR="008546AB" w:rsidRPr="000B668F">
              <w:rPr>
                <w:rStyle w:val="Hyperlink"/>
                <w:noProof/>
              </w:rPr>
              <w:t>3.</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Stanje u Europi</w:t>
            </w:r>
            <w:r w:rsidR="008546AB">
              <w:rPr>
                <w:noProof/>
                <w:webHidden/>
              </w:rPr>
              <w:tab/>
            </w:r>
            <w:r w:rsidR="008546AB">
              <w:rPr>
                <w:noProof/>
                <w:webHidden/>
              </w:rPr>
              <w:fldChar w:fldCharType="begin"/>
            </w:r>
            <w:r w:rsidR="008546AB">
              <w:rPr>
                <w:noProof/>
                <w:webHidden/>
              </w:rPr>
              <w:instrText xml:space="preserve"> PAGEREF _Toc239944252 \h </w:instrText>
            </w:r>
            <w:r w:rsidR="008546AB">
              <w:rPr>
                <w:noProof/>
                <w:webHidden/>
              </w:rPr>
            </w:r>
            <w:r w:rsidR="008546AB">
              <w:rPr>
                <w:noProof/>
                <w:webHidden/>
              </w:rPr>
              <w:fldChar w:fldCharType="separate"/>
            </w:r>
            <w:r w:rsidR="008546AB">
              <w:rPr>
                <w:noProof/>
                <w:webHidden/>
              </w:rPr>
              <w:t>10</w:t>
            </w:r>
            <w:r w:rsidR="008546AB">
              <w:rPr>
                <w:noProof/>
                <w:webHidden/>
              </w:rPr>
              <w:fldChar w:fldCharType="end"/>
            </w:r>
          </w:hyperlink>
        </w:p>
        <w:p w14:paraId="5BBADF3E" w14:textId="7F7338C4" w:rsidR="008546AB" w:rsidRDefault="00F45BE1">
          <w:pPr>
            <w:pStyle w:val="TOC2"/>
            <w:rPr>
              <w:rFonts w:asciiTheme="minorHAnsi" w:eastAsiaTheme="minorEastAsia" w:hAnsiTheme="minorHAnsi" w:cstheme="minorBidi"/>
              <w:noProof/>
              <w:color w:val="auto"/>
              <w:sz w:val="22"/>
              <w:szCs w:val="22"/>
              <w:lang w:val="en-US" w:eastAsia="en-US"/>
            </w:rPr>
          </w:pPr>
          <w:hyperlink w:anchor="_Toc239944256" w:history="1">
            <w:r w:rsidR="008546AB" w:rsidRPr="000B668F">
              <w:rPr>
                <w:rStyle w:val="Hyperlink"/>
                <w:noProof/>
              </w:rPr>
              <w:t>3.1.</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Implikacije europske prakse za hrvatski model</w:t>
            </w:r>
            <w:r w:rsidR="008546AB">
              <w:rPr>
                <w:noProof/>
                <w:webHidden/>
              </w:rPr>
              <w:tab/>
            </w:r>
            <w:r w:rsidR="008546AB">
              <w:rPr>
                <w:noProof/>
                <w:webHidden/>
              </w:rPr>
              <w:fldChar w:fldCharType="begin"/>
            </w:r>
            <w:r w:rsidR="008546AB">
              <w:rPr>
                <w:noProof/>
                <w:webHidden/>
              </w:rPr>
              <w:instrText xml:space="preserve"> PAGEREF _Toc239944256 \h </w:instrText>
            </w:r>
            <w:r w:rsidR="008546AB">
              <w:rPr>
                <w:noProof/>
                <w:webHidden/>
              </w:rPr>
            </w:r>
            <w:r w:rsidR="008546AB">
              <w:rPr>
                <w:noProof/>
                <w:webHidden/>
              </w:rPr>
              <w:fldChar w:fldCharType="separate"/>
            </w:r>
            <w:r w:rsidR="008546AB">
              <w:rPr>
                <w:noProof/>
                <w:webHidden/>
              </w:rPr>
              <w:t>13</w:t>
            </w:r>
            <w:r w:rsidR="008546AB">
              <w:rPr>
                <w:noProof/>
                <w:webHidden/>
              </w:rPr>
              <w:fldChar w:fldCharType="end"/>
            </w:r>
          </w:hyperlink>
        </w:p>
        <w:p w14:paraId="2B134509" w14:textId="0E49B656"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57" w:history="1">
            <w:r w:rsidR="008546AB" w:rsidRPr="000B668F">
              <w:rPr>
                <w:rStyle w:val="Hyperlink"/>
                <w:noProof/>
              </w:rPr>
              <w:t>4.</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Postupanje pri gašenju bakrene mreže</w:t>
            </w:r>
            <w:r w:rsidR="008546AB">
              <w:rPr>
                <w:noProof/>
                <w:webHidden/>
              </w:rPr>
              <w:tab/>
            </w:r>
            <w:r w:rsidR="008546AB">
              <w:rPr>
                <w:noProof/>
                <w:webHidden/>
              </w:rPr>
              <w:fldChar w:fldCharType="begin"/>
            </w:r>
            <w:r w:rsidR="008546AB">
              <w:rPr>
                <w:noProof/>
                <w:webHidden/>
              </w:rPr>
              <w:instrText xml:space="preserve"> PAGEREF _Toc239944257 \h </w:instrText>
            </w:r>
            <w:r w:rsidR="008546AB">
              <w:rPr>
                <w:noProof/>
                <w:webHidden/>
              </w:rPr>
            </w:r>
            <w:r w:rsidR="008546AB">
              <w:rPr>
                <w:noProof/>
                <w:webHidden/>
              </w:rPr>
              <w:fldChar w:fldCharType="separate"/>
            </w:r>
            <w:r w:rsidR="008546AB">
              <w:rPr>
                <w:noProof/>
                <w:webHidden/>
              </w:rPr>
              <w:t>14</w:t>
            </w:r>
            <w:r w:rsidR="008546AB">
              <w:rPr>
                <w:noProof/>
                <w:webHidden/>
              </w:rPr>
              <w:fldChar w:fldCharType="end"/>
            </w:r>
          </w:hyperlink>
        </w:p>
        <w:p w14:paraId="1D4C393F" w14:textId="0B5F7ABA"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58" w:history="1">
            <w:r w:rsidR="008546AB" w:rsidRPr="000B668F">
              <w:rPr>
                <w:rStyle w:val="Hyperlink"/>
                <w:noProof/>
              </w:rPr>
              <w:t>5.</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Scenariji gašenja bakrene mreže i migracije korisnika</w:t>
            </w:r>
            <w:r w:rsidR="008546AB">
              <w:rPr>
                <w:noProof/>
                <w:webHidden/>
              </w:rPr>
              <w:tab/>
            </w:r>
            <w:r w:rsidR="008546AB">
              <w:rPr>
                <w:noProof/>
                <w:webHidden/>
              </w:rPr>
              <w:fldChar w:fldCharType="begin"/>
            </w:r>
            <w:r w:rsidR="008546AB">
              <w:rPr>
                <w:noProof/>
                <w:webHidden/>
              </w:rPr>
              <w:instrText xml:space="preserve"> PAGEREF _Toc239944258 \h </w:instrText>
            </w:r>
            <w:r w:rsidR="008546AB">
              <w:rPr>
                <w:noProof/>
                <w:webHidden/>
              </w:rPr>
            </w:r>
            <w:r w:rsidR="008546AB">
              <w:rPr>
                <w:noProof/>
                <w:webHidden/>
              </w:rPr>
              <w:fldChar w:fldCharType="separate"/>
            </w:r>
            <w:r w:rsidR="008546AB">
              <w:rPr>
                <w:noProof/>
                <w:webHidden/>
              </w:rPr>
              <w:t>17</w:t>
            </w:r>
            <w:r w:rsidR="008546AB">
              <w:rPr>
                <w:noProof/>
                <w:webHidden/>
              </w:rPr>
              <w:fldChar w:fldCharType="end"/>
            </w:r>
          </w:hyperlink>
        </w:p>
        <w:p w14:paraId="103CEA99" w14:textId="44EDE4B4" w:rsidR="008546AB" w:rsidRDefault="00F45BE1">
          <w:pPr>
            <w:pStyle w:val="TOC2"/>
            <w:rPr>
              <w:rFonts w:asciiTheme="minorHAnsi" w:eastAsiaTheme="minorEastAsia" w:hAnsiTheme="minorHAnsi" w:cstheme="minorBidi"/>
              <w:noProof/>
              <w:color w:val="auto"/>
              <w:sz w:val="22"/>
              <w:szCs w:val="22"/>
              <w:lang w:val="en-US" w:eastAsia="en-US"/>
            </w:rPr>
          </w:pPr>
          <w:hyperlink w:anchor="_Toc239944259" w:history="1">
            <w:r w:rsidR="008546AB" w:rsidRPr="000B668F">
              <w:rPr>
                <w:rStyle w:val="Hyperlink"/>
                <w:noProof/>
              </w:rPr>
              <w:t>5.1.</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Područje na kojem nema maloprodajnih ni veleprodajnih korisnika</w:t>
            </w:r>
            <w:r w:rsidR="008546AB">
              <w:rPr>
                <w:noProof/>
                <w:webHidden/>
              </w:rPr>
              <w:tab/>
            </w:r>
            <w:r w:rsidR="008546AB">
              <w:rPr>
                <w:noProof/>
                <w:webHidden/>
              </w:rPr>
              <w:fldChar w:fldCharType="begin"/>
            </w:r>
            <w:r w:rsidR="008546AB">
              <w:rPr>
                <w:noProof/>
                <w:webHidden/>
              </w:rPr>
              <w:instrText xml:space="preserve"> PAGEREF _Toc239944259 \h </w:instrText>
            </w:r>
            <w:r w:rsidR="008546AB">
              <w:rPr>
                <w:noProof/>
                <w:webHidden/>
              </w:rPr>
            </w:r>
            <w:r w:rsidR="008546AB">
              <w:rPr>
                <w:noProof/>
                <w:webHidden/>
              </w:rPr>
              <w:fldChar w:fldCharType="separate"/>
            </w:r>
            <w:r w:rsidR="008546AB">
              <w:rPr>
                <w:noProof/>
                <w:webHidden/>
              </w:rPr>
              <w:t>17</w:t>
            </w:r>
            <w:r w:rsidR="008546AB">
              <w:rPr>
                <w:noProof/>
                <w:webHidden/>
              </w:rPr>
              <w:fldChar w:fldCharType="end"/>
            </w:r>
          </w:hyperlink>
        </w:p>
        <w:p w14:paraId="0C00B8B7" w14:textId="094524DA" w:rsidR="008546AB" w:rsidRDefault="00F45BE1">
          <w:pPr>
            <w:pStyle w:val="TOC2"/>
            <w:rPr>
              <w:rFonts w:asciiTheme="minorHAnsi" w:eastAsiaTheme="minorEastAsia" w:hAnsiTheme="minorHAnsi" w:cstheme="minorBidi"/>
              <w:noProof/>
              <w:color w:val="auto"/>
              <w:sz w:val="22"/>
              <w:szCs w:val="22"/>
              <w:lang w:val="en-US" w:eastAsia="en-US"/>
            </w:rPr>
          </w:pPr>
          <w:hyperlink w:anchor="_Toc239944260" w:history="1">
            <w:r w:rsidR="008546AB" w:rsidRPr="000B668F">
              <w:rPr>
                <w:rStyle w:val="Hyperlink"/>
                <w:noProof/>
              </w:rPr>
              <w:t>5.2.</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Područje na kojem su samo maloprodajni korisnici</w:t>
            </w:r>
            <w:r w:rsidR="008546AB">
              <w:rPr>
                <w:noProof/>
                <w:webHidden/>
              </w:rPr>
              <w:tab/>
            </w:r>
            <w:r w:rsidR="008546AB">
              <w:rPr>
                <w:noProof/>
                <w:webHidden/>
              </w:rPr>
              <w:fldChar w:fldCharType="begin"/>
            </w:r>
            <w:r w:rsidR="008546AB">
              <w:rPr>
                <w:noProof/>
                <w:webHidden/>
              </w:rPr>
              <w:instrText xml:space="preserve"> PAGEREF _Toc239944260 \h </w:instrText>
            </w:r>
            <w:r w:rsidR="008546AB">
              <w:rPr>
                <w:noProof/>
                <w:webHidden/>
              </w:rPr>
            </w:r>
            <w:r w:rsidR="008546AB">
              <w:rPr>
                <w:noProof/>
                <w:webHidden/>
              </w:rPr>
              <w:fldChar w:fldCharType="separate"/>
            </w:r>
            <w:r w:rsidR="008546AB">
              <w:rPr>
                <w:noProof/>
                <w:webHidden/>
              </w:rPr>
              <w:t>17</w:t>
            </w:r>
            <w:r w:rsidR="008546AB">
              <w:rPr>
                <w:noProof/>
                <w:webHidden/>
              </w:rPr>
              <w:fldChar w:fldCharType="end"/>
            </w:r>
          </w:hyperlink>
        </w:p>
        <w:p w14:paraId="12BB02C0" w14:textId="402A9F40" w:rsidR="008546AB" w:rsidRDefault="00F45BE1">
          <w:pPr>
            <w:pStyle w:val="TOC2"/>
            <w:rPr>
              <w:rFonts w:asciiTheme="minorHAnsi" w:eastAsiaTheme="minorEastAsia" w:hAnsiTheme="minorHAnsi" w:cstheme="minorBidi"/>
              <w:noProof/>
              <w:color w:val="auto"/>
              <w:sz w:val="22"/>
              <w:szCs w:val="22"/>
              <w:lang w:val="en-US" w:eastAsia="en-US"/>
            </w:rPr>
          </w:pPr>
          <w:hyperlink w:anchor="_Toc239944261" w:history="1">
            <w:r w:rsidR="008546AB" w:rsidRPr="000B668F">
              <w:rPr>
                <w:rStyle w:val="Hyperlink"/>
                <w:noProof/>
              </w:rPr>
              <w:t>5.3.</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Područje na kojem su maloprodajni i veleprodajni korisnici</w:t>
            </w:r>
            <w:r w:rsidR="008546AB">
              <w:rPr>
                <w:noProof/>
                <w:webHidden/>
              </w:rPr>
              <w:tab/>
            </w:r>
            <w:r w:rsidR="008546AB">
              <w:rPr>
                <w:noProof/>
                <w:webHidden/>
              </w:rPr>
              <w:fldChar w:fldCharType="begin"/>
            </w:r>
            <w:r w:rsidR="008546AB">
              <w:rPr>
                <w:noProof/>
                <w:webHidden/>
              </w:rPr>
              <w:instrText xml:space="preserve"> PAGEREF _Toc239944261 \h </w:instrText>
            </w:r>
            <w:r w:rsidR="008546AB">
              <w:rPr>
                <w:noProof/>
                <w:webHidden/>
              </w:rPr>
            </w:r>
            <w:r w:rsidR="008546AB">
              <w:rPr>
                <w:noProof/>
                <w:webHidden/>
              </w:rPr>
              <w:fldChar w:fldCharType="separate"/>
            </w:r>
            <w:r w:rsidR="008546AB">
              <w:rPr>
                <w:noProof/>
                <w:webHidden/>
              </w:rPr>
              <w:t>19</w:t>
            </w:r>
            <w:r w:rsidR="008546AB">
              <w:rPr>
                <w:noProof/>
                <w:webHidden/>
              </w:rPr>
              <w:fldChar w:fldCharType="end"/>
            </w:r>
          </w:hyperlink>
        </w:p>
        <w:p w14:paraId="2B65310E" w14:textId="4E9B3227"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62" w:history="1">
            <w:r w:rsidR="008546AB" w:rsidRPr="000B668F">
              <w:rPr>
                <w:rStyle w:val="Hyperlink"/>
                <w:noProof/>
              </w:rPr>
              <w:t>6.</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Pilot projekti i revizija smjernica</w:t>
            </w:r>
            <w:r w:rsidR="008546AB">
              <w:rPr>
                <w:noProof/>
                <w:webHidden/>
              </w:rPr>
              <w:tab/>
            </w:r>
            <w:r w:rsidR="008546AB">
              <w:rPr>
                <w:noProof/>
                <w:webHidden/>
              </w:rPr>
              <w:fldChar w:fldCharType="begin"/>
            </w:r>
            <w:r w:rsidR="008546AB">
              <w:rPr>
                <w:noProof/>
                <w:webHidden/>
              </w:rPr>
              <w:instrText xml:space="preserve"> PAGEREF _Toc239944262 \h </w:instrText>
            </w:r>
            <w:r w:rsidR="008546AB">
              <w:rPr>
                <w:noProof/>
                <w:webHidden/>
              </w:rPr>
            </w:r>
            <w:r w:rsidR="008546AB">
              <w:rPr>
                <w:noProof/>
                <w:webHidden/>
              </w:rPr>
              <w:fldChar w:fldCharType="separate"/>
            </w:r>
            <w:r w:rsidR="008546AB">
              <w:rPr>
                <w:noProof/>
                <w:webHidden/>
              </w:rPr>
              <w:t>22</w:t>
            </w:r>
            <w:r w:rsidR="008546AB">
              <w:rPr>
                <w:noProof/>
                <w:webHidden/>
              </w:rPr>
              <w:fldChar w:fldCharType="end"/>
            </w:r>
          </w:hyperlink>
        </w:p>
        <w:p w14:paraId="6417AD7E" w14:textId="4195DEBA"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63" w:history="1">
            <w:r w:rsidR="008546AB" w:rsidRPr="000B668F">
              <w:rPr>
                <w:rStyle w:val="Hyperlink"/>
                <w:noProof/>
              </w:rPr>
              <w:t>7.</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Popis tablica</w:t>
            </w:r>
            <w:r w:rsidR="008546AB">
              <w:rPr>
                <w:noProof/>
                <w:webHidden/>
              </w:rPr>
              <w:tab/>
            </w:r>
            <w:r w:rsidR="008546AB">
              <w:rPr>
                <w:noProof/>
                <w:webHidden/>
              </w:rPr>
              <w:fldChar w:fldCharType="begin"/>
            </w:r>
            <w:r w:rsidR="008546AB">
              <w:rPr>
                <w:noProof/>
                <w:webHidden/>
              </w:rPr>
              <w:instrText xml:space="preserve"> PAGEREF _Toc239944263 \h </w:instrText>
            </w:r>
            <w:r w:rsidR="008546AB">
              <w:rPr>
                <w:noProof/>
                <w:webHidden/>
              </w:rPr>
            </w:r>
            <w:r w:rsidR="008546AB">
              <w:rPr>
                <w:noProof/>
                <w:webHidden/>
              </w:rPr>
              <w:fldChar w:fldCharType="separate"/>
            </w:r>
            <w:r w:rsidR="008546AB">
              <w:rPr>
                <w:noProof/>
                <w:webHidden/>
              </w:rPr>
              <w:t>23</w:t>
            </w:r>
            <w:r w:rsidR="008546AB">
              <w:rPr>
                <w:noProof/>
                <w:webHidden/>
              </w:rPr>
              <w:fldChar w:fldCharType="end"/>
            </w:r>
          </w:hyperlink>
        </w:p>
        <w:p w14:paraId="7B679895" w14:textId="0A010043" w:rsidR="008546AB" w:rsidRDefault="00F45BE1">
          <w:pPr>
            <w:pStyle w:val="TOC1"/>
            <w:rPr>
              <w:rFonts w:asciiTheme="minorHAnsi" w:eastAsiaTheme="minorEastAsia" w:hAnsiTheme="minorHAnsi" w:cstheme="minorBidi"/>
              <w:noProof/>
              <w:color w:val="auto"/>
              <w:sz w:val="22"/>
              <w:szCs w:val="22"/>
              <w:lang w:val="en-US" w:eastAsia="en-US"/>
            </w:rPr>
          </w:pPr>
          <w:hyperlink w:anchor="_Toc239944264" w:history="1">
            <w:r w:rsidR="008546AB" w:rsidRPr="000B668F">
              <w:rPr>
                <w:rStyle w:val="Hyperlink"/>
                <w:noProof/>
              </w:rPr>
              <w:t>8.</w:t>
            </w:r>
            <w:r w:rsidR="008546AB">
              <w:rPr>
                <w:rFonts w:asciiTheme="minorHAnsi" w:eastAsiaTheme="minorEastAsia" w:hAnsiTheme="minorHAnsi" w:cstheme="minorBidi"/>
                <w:noProof/>
                <w:color w:val="auto"/>
                <w:sz w:val="22"/>
                <w:szCs w:val="22"/>
                <w:lang w:val="en-US" w:eastAsia="en-US"/>
              </w:rPr>
              <w:tab/>
            </w:r>
            <w:r w:rsidR="008546AB" w:rsidRPr="000B668F">
              <w:rPr>
                <w:rStyle w:val="Hyperlink"/>
                <w:noProof/>
              </w:rPr>
              <w:t>Popis slika</w:t>
            </w:r>
            <w:r w:rsidR="008546AB">
              <w:rPr>
                <w:noProof/>
                <w:webHidden/>
              </w:rPr>
              <w:tab/>
            </w:r>
            <w:r w:rsidR="008546AB">
              <w:rPr>
                <w:noProof/>
                <w:webHidden/>
              </w:rPr>
              <w:fldChar w:fldCharType="begin"/>
            </w:r>
            <w:r w:rsidR="008546AB">
              <w:rPr>
                <w:noProof/>
                <w:webHidden/>
              </w:rPr>
              <w:instrText xml:space="preserve"> PAGEREF _Toc239944264 \h </w:instrText>
            </w:r>
            <w:r w:rsidR="008546AB">
              <w:rPr>
                <w:noProof/>
                <w:webHidden/>
              </w:rPr>
            </w:r>
            <w:r w:rsidR="008546AB">
              <w:rPr>
                <w:noProof/>
                <w:webHidden/>
              </w:rPr>
              <w:fldChar w:fldCharType="separate"/>
            </w:r>
            <w:r w:rsidR="008546AB">
              <w:rPr>
                <w:noProof/>
                <w:webHidden/>
              </w:rPr>
              <w:t>24</w:t>
            </w:r>
            <w:r w:rsidR="008546AB">
              <w:rPr>
                <w:noProof/>
                <w:webHidden/>
              </w:rPr>
              <w:fldChar w:fldCharType="end"/>
            </w:r>
          </w:hyperlink>
        </w:p>
        <w:p w14:paraId="1FBC7476" w14:textId="18ABB956" w:rsidR="009866EF" w:rsidRPr="009866EF" w:rsidRDefault="00737492" w:rsidP="009866EF">
          <w:r>
            <w:rPr>
              <w:b/>
              <w:bCs/>
              <w:noProof/>
              <w:lang w:val="en-US"/>
            </w:rPr>
            <w:fldChar w:fldCharType="end"/>
          </w:r>
        </w:p>
      </w:sdtContent>
    </w:sdt>
    <w:bookmarkStart w:id="0" w:name="_Toc212072996" w:displacedByCustomXml="prev"/>
    <w:bookmarkEnd w:id="0" w:displacedByCustomXml="prev"/>
    <w:bookmarkStart w:id="1" w:name="_Toc212072968" w:displacedByCustomXml="prev"/>
    <w:bookmarkEnd w:id="1" w:displacedByCustomXml="prev"/>
    <w:p w14:paraId="0C44EDA8" w14:textId="77777777" w:rsidR="009866EF" w:rsidRDefault="009866EF">
      <w:pPr>
        <w:spacing w:before="120" w:after="60"/>
        <w:jc w:val="both"/>
        <w:rPr>
          <w:b/>
          <w:sz w:val="36"/>
        </w:rPr>
      </w:pPr>
      <w:r>
        <w:br w:type="page"/>
      </w:r>
    </w:p>
    <w:p w14:paraId="67BBBC6E" w14:textId="26E3FBBA" w:rsidR="001D7A74" w:rsidRPr="003E51CB" w:rsidRDefault="000C29E6" w:rsidP="001767CB">
      <w:pPr>
        <w:pStyle w:val="Nazivpoglavlja"/>
        <w:numPr>
          <w:ilvl w:val="0"/>
          <w:numId w:val="3"/>
        </w:numPr>
      </w:pPr>
      <w:bookmarkStart w:id="2" w:name="_Toc239944250"/>
      <w:r w:rsidRPr="003E51CB">
        <w:lastRenderedPageBreak/>
        <w:t>U</w:t>
      </w:r>
      <w:r w:rsidR="00A5072D">
        <w:t>vod</w:t>
      </w:r>
      <w:bookmarkEnd w:id="2"/>
    </w:p>
    <w:p w14:paraId="10B0FFF5" w14:textId="7019DA61" w:rsidR="00C53524" w:rsidRDefault="00CC085E" w:rsidP="000C29E6">
      <w:pPr>
        <w:pStyle w:val="Osnovnifont"/>
        <w:spacing w:after="120"/>
      </w:pPr>
      <w:r w:rsidRPr="00CC085E">
        <w:t xml:space="preserve">Postupci migracije korisnika s bakrene mreže i zamjene dijelova </w:t>
      </w:r>
      <w:r w:rsidR="00717FD1">
        <w:t xml:space="preserve">bakrenih mreža s </w:t>
      </w:r>
      <w:r w:rsidRPr="00CC085E">
        <w:t>mrežama vrlo velikog kapaciteta (VHCN) već se pojavljuju u praksi te zahtijevaju jasno, predvidljivo i razmjerno regulatorno postupanje.</w:t>
      </w:r>
      <w:r w:rsidR="003B0CD7" w:rsidRPr="003B0CD7">
        <w:t xml:space="preserve"> </w:t>
      </w:r>
      <w:r w:rsidR="003B0CD7">
        <w:t>N</w:t>
      </w:r>
      <w:r w:rsidR="003B0CD7" w:rsidRPr="003B0CD7">
        <w:t>a razini Europske unije prisutan je kontinuirani napredak u uvođenju mreža vrlo velikog kapaciteta i postupnom gašenju bakrenih mreža, pri čemu sve veći broj nacionalnih regulatornih tijela utvrđuje pravila za upravljanje migracijom i gašenjem. U Republici Hrvatskoj proces gašenja bakrene mreže još je u početnoj fazi, bez formalno objavljenih planova potpunog gašenja, uz istodobno provođenje aktivnosti migracije i modernizacije mreža u okviru postojećeg regulatornog okvira.</w:t>
      </w:r>
    </w:p>
    <w:p w14:paraId="41718983" w14:textId="488FF599" w:rsidR="000C29E6" w:rsidRDefault="00CC085E" w:rsidP="000C29E6">
      <w:pPr>
        <w:pStyle w:val="Osnovnifont"/>
        <w:spacing w:after="120"/>
      </w:pPr>
      <w:r w:rsidRPr="00CC085E">
        <w:t>Sukladno članku 114. Zakona o elektroničkim komunikacijama (NN 76/22, 14/24 i 45/26; dalje: ZEK), operator sa značajnom tržišnom snagom obvezan je unaprijed i pravodobno obavijestiti Hrvatsku regulatornu agenciju za mrežne djelatnosti (dalje: HAKOM) o namjeri stavljanja dijelova bakrene mreže izvan uporabe ili njihove zamjene novom infrastrukturom.</w:t>
      </w:r>
      <w:r w:rsidR="000C29E6">
        <w:t xml:space="preserve"> </w:t>
      </w:r>
      <w:r w:rsidRPr="00CC085E">
        <w:t>Takva obavijest mora sadržavati transparentan raspored i uvjete prelaska, primjeren rok za obavješćivanje trećih osoba te specifikaciju dostupnih zamjenskih proizvoda koji su najmanje usporedive kakvoće i kojima se omogućuje pristup poboljšanoj mrežnoj infrastrukturi. Utvrdi li HAKOM da predloženi postupak prelaska ne osigurava dostatnu zaštitu tržišnog natjecanja i prava krajnjih korisnika, ovlašten je odrediti uvjete kojima se osigurava primjeren postupak prelaska.</w:t>
      </w:r>
    </w:p>
    <w:p w14:paraId="303B59DA" w14:textId="268D956A" w:rsidR="003E233A" w:rsidRDefault="00CC085E" w:rsidP="00C53524">
      <w:pPr>
        <w:pStyle w:val="Osnovnifont"/>
        <w:spacing w:after="120"/>
      </w:pPr>
      <w:r w:rsidRPr="00CC085E">
        <w:t xml:space="preserve">S obzirom na općenitu prirodu navedene zakonske odredbe te radi osiguravanja regulatorne predvidljivosti i transparentnosti postupanja, HAKOM je izradio </w:t>
      </w:r>
      <w:r w:rsidR="00AE649F">
        <w:t xml:space="preserve">ove </w:t>
      </w:r>
      <w:r w:rsidRPr="00CC085E">
        <w:t xml:space="preserve">Smjernice </w:t>
      </w:r>
      <w:r w:rsidR="002C3306">
        <w:t xml:space="preserve">kako bi </w:t>
      </w:r>
      <w:r w:rsidR="00076BD7">
        <w:t xml:space="preserve">unaprijed </w:t>
      </w:r>
      <w:r w:rsidR="00433C40">
        <w:t>uredio</w:t>
      </w:r>
      <w:r w:rsidR="00547546">
        <w:t xml:space="preserve"> </w:t>
      </w:r>
      <w:r w:rsidRPr="00CC085E">
        <w:t>najave</w:t>
      </w:r>
      <w:r w:rsidR="003B2B9D">
        <w:t xml:space="preserve"> </w:t>
      </w:r>
      <w:r w:rsidR="00450D98">
        <w:t xml:space="preserve">migracije i </w:t>
      </w:r>
      <w:r w:rsidRPr="00CC085E">
        <w:t xml:space="preserve">gašenja bakrene </w:t>
      </w:r>
      <w:r w:rsidR="00504B56">
        <w:t>mreže</w:t>
      </w:r>
      <w:r w:rsidR="00A5072D">
        <w:t xml:space="preserve"> (dalje: Smjernice)</w:t>
      </w:r>
      <w:r w:rsidRPr="00CC085E">
        <w:t>.</w:t>
      </w:r>
      <w:r w:rsidR="00491E28">
        <w:t xml:space="preserve"> </w:t>
      </w:r>
    </w:p>
    <w:p w14:paraId="1F2ACEBA" w14:textId="2D7589D6" w:rsidR="00622D34" w:rsidRDefault="00D709A2" w:rsidP="00C53524">
      <w:pPr>
        <w:pStyle w:val="Osnovnifont"/>
        <w:spacing w:after="120"/>
      </w:pPr>
      <w:r w:rsidRPr="00D709A2">
        <w:t xml:space="preserve">Ovim Smjernicama HAKOM, radi transparentnosti, ujednačenosti postupanja i regulatorne predvidljivosti, utvrđuje kriterije i informacije koje će uzimati u obzir pri ocjeni obavijesti iz članka 114. ZEK-a. Smjernice same po sebi ne uvode dodatne regulatorne obveze niti uspostavljaju opći režim prethodnog odobrenja gašenja bakrene mreže. </w:t>
      </w:r>
      <w:r w:rsidR="00A22048">
        <w:t>Ukoliko</w:t>
      </w:r>
      <w:r w:rsidRPr="00D709A2">
        <w:t xml:space="preserve"> HAKOM u konkretnom slučaju utvrdi da predloženi postupak prijelaza ne osigurava odgovarajuću zaštitu tržišnog natjecanja ili prava krajnjih korisnika, potrebne uvjete određuje u skladu sa ZEK-om.</w:t>
      </w:r>
      <w:r>
        <w:t xml:space="preserve"> </w:t>
      </w:r>
      <w:r w:rsidR="00491E28" w:rsidRPr="00491E28">
        <w:t xml:space="preserve">Smjernice </w:t>
      </w:r>
      <w:r w:rsidR="002863C4">
        <w:t xml:space="preserve">pobliže uređuju postupanje </w:t>
      </w:r>
      <w:r w:rsidR="008B51A3">
        <w:t xml:space="preserve">pri gašenju bakrene mreže i </w:t>
      </w:r>
      <w:r w:rsidR="00547546" w:rsidRPr="00547546">
        <w:t>pomoć u ispravnoj i ujednačenoj primjeni propisa</w:t>
      </w:r>
      <w:r>
        <w:t xml:space="preserve">. </w:t>
      </w:r>
      <w:r w:rsidR="00547546" w:rsidRPr="00491E28" w:rsidDel="00547546">
        <w:t xml:space="preserve"> </w:t>
      </w:r>
    </w:p>
    <w:p w14:paraId="1AC48152" w14:textId="518AEF68" w:rsidR="00C53524" w:rsidRDefault="00622D34" w:rsidP="00C53524">
      <w:pPr>
        <w:pStyle w:val="Osnovnifont"/>
        <w:spacing w:after="120"/>
      </w:pPr>
      <w:r w:rsidRPr="00622D34">
        <w:t xml:space="preserve">Svrha Smjernica jest unaprijed definirati </w:t>
      </w:r>
      <w:r w:rsidR="00F336A2" w:rsidRPr="00F336A2">
        <w:t>regulatorna očekivanja, kriterije i postupovne elemente</w:t>
      </w:r>
      <w:r w:rsidRPr="00622D34">
        <w:t xml:space="preserve"> povezane s</w:t>
      </w:r>
      <w:r w:rsidR="00F336A2">
        <w:t xml:space="preserve"> najavom i provedbom gašenja bakrene mreže i migracijom korisnika.</w:t>
      </w:r>
      <w:r w:rsidR="00957FE8">
        <w:t xml:space="preserve"> </w:t>
      </w:r>
    </w:p>
    <w:p w14:paraId="3FC7CFE6" w14:textId="1F1379D0" w:rsidR="00547F95" w:rsidRDefault="00547F95" w:rsidP="00547F95">
      <w:pPr>
        <w:pStyle w:val="Osnovnifont"/>
        <w:spacing w:after="120"/>
      </w:pPr>
      <w:r w:rsidRPr="00547F95">
        <w:t>Provedba gašenja bakrene mreže temelji se osobito na načelima:</w:t>
      </w:r>
    </w:p>
    <w:p w14:paraId="4B0D1F01" w14:textId="77777777" w:rsidR="00547F95" w:rsidRDefault="00547F95" w:rsidP="00547F95">
      <w:pPr>
        <w:pStyle w:val="Osnovnifont"/>
        <w:numPr>
          <w:ilvl w:val="0"/>
          <w:numId w:val="5"/>
        </w:numPr>
        <w:spacing w:after="120"/>
        <w:ind w:left="714" w:hanging="357"/>
        <w:contextualSpacing/>
      </w:pPr>
      <w:r>
        <w:t>tehnološke neutralnosti,</w:t>
      </w:r>
    </w:p>
    <w:p w14:paraId="516B3B1C" w14:textId="77777777" w:rsidR="00547F95" w:rsidRDefault="00547F95" w:rsidP="00547F95">
      <w:pPr>
        <w:pStyle w:val="Osnovnifont"/>
        <w:numPr>
          <w:ilvl w:val="0"/>
          <w:numId w:val="5"/>
        </w:numPr>
        <w:spacing w:after="120"/>
        <w:ind w:left="714" w:hanging="357"/>
        <w:contextualSpacing/>
      </w:pPr>
      <w:r>
        <w:t>zaštite krajnjih korisnika,</w:t>
      </w:r>
    </w:p>
    <w:p w14:paraId="19C78188" w14:textId="77777777" w:rsidR="00547F95" w:rsidRDefault="00547F95" w:rsidP="00547F95">
      <w:pPr>
        <w:pStyle w:val="Osnovnifont"/>
        <w:numPr>
          <w:ilvl w:val="0"/>
          <w:numId w:val="5"/>
        </w:numPr>
        <w:spacing w:after="120"/>
        <w:ind w:left="714" w:hanging="357"/>
        <w:contextualSpacing/>
      </w:pPr>
      <w:r>
        <w:t>očuvanja djelotvornog tržišnog natjecanja,</w:t>
      </w:r>
    </w:p>
    <w:p w14:paraId="15C10883" w14:textId="77777777" w:rsidR="00547F95" w:rsidRDefault="00547F95" w:rsidP="00547F95">
      <w:pPr>
        <w:pStyle w:val="Osnovnifont"/>
        <w:numPr>
          <w:ilvl w:val="0"/>
          <w:numId w:val="5"/>
        </w:numPr>
        <w:spacing w:after="120"/>
        <w:ind w:left="714" w:hanging="357"/>
        <w:contextualSpacing/>
      </w:pPr>
      <w:r>
        <w:t>transparentnosti i nediskriminacije,</w:t>
      </w:r>
    </w:p>
    <w:p w14:paraId="297055B8" w14:textId="77777777" w:rsidR="00547F95" w:rsidRDefault="00547F95" w:rsidP="00547F95">
      <w:pPr>
        <w:pStyle w:val="Osnovnifont"/>
        <w:numPr>
          <w:ilvl w:val="0"/>
          <w:numId w:val="5"/>
        </w:numPr>
        <w:spacing w:after="120"/>
        <w:ind w:left="714" w:hanging="357"/>
        <w:contextualSpacing/>
      </w:pPr>
      <w:r>
        <w:t>razmjernosti regulatornih mjera,</w:t>
      </w:r>
    </w:p>
    <w:p w14:paraId="4934F070" w14:textId="552166C3" w:rsidR="00547F95" w:rsidRDefault="00547F95" w:rsidP="00547F95">
      <w:pPr>
        <w:pStyle w:val="Osnovnifont"/>
        <w:numPr>
          <w:ilvl w:val="0"/>
          <w:numId w:val="5"/>
        </w:numPr>
        <w:spacing w:after="120"/>
      </w:pPr>
      <w:r>
        <w:t>kontinuiteta pružanja</w:t>
      </w:r>
      <w:r w:rsidR="004E2D8E">
        <w:t xml:space="preserve"> (kvaliteta, cijena i dostupnost)</w:t>
      </w:r>
      <w:r>
        <w:t xml:space="preserve"> elektroničkih komunikacijskih usluga</w:t>
      </w:r>
      <w:r w:rsidR="004E2D8E">
        <w:t>, kako na maloprodajnoj tako i na veleprodajnoj razini</w:t>
      </w:r>
      <w:r>
        <w:t>.</w:t>
      </w:r>
    </w:p>
    <w:p w14:paraId="13F9922B" w14:textId="292BDBA8" w:rsidR="00957FE8" w:rsidRDefault="00547F95" w:rsidP="00C53524">
      <w:pPr>
        <w:pStyle w:val="Osnovnifont"/>
        <w:spacing w:after="120"/>
      </w:pPr>
      <w:r w:rsidRPr="00547F95">
        <w:t>HAKOM je tijekom 2026. proveo javni poziv radi prikupljanja mišljenja, iskustava i prijedloga operatora i drugih dionika tržišta vezano uz regulatorni okvir za gašenje bakrene mreže. Stavovi i prijedlozi zaprimljeni tijekom javnog poziva uzeti su u obzir pri izradi Smjernica.</w:t>
      </w:r>
    </w:p>
    <w:p w14:paraId="34093BE1" w14:textId="166AE61D" w:rsidR="00264BC2" w:rsidRDefault="00547F95" w:rsidP="00687CC1">
      <w:pPr>
        <w:pStyle w:val="Osnovnifont"/>
        <w:spacing w:after="120"/>
        <w:rPr>
          <w:b/>
          <w:sz w:val="36"/>
        </w:rPr>
      </w:pPr>
      <w:r w:rsidRPr="00547F95">
        <w:lastRenderedPageBreak/>
        <w:t>Pojedini operatori tijekom javnog poziva predložili su provedbu pilot projekta gašenja bakrene mreže na unaprijed definiranim područjima radi testiranja operativnih, tehničkih i regulatornih aspekata migracije u stvarnim uvjetima. HAKOM podržava provedbu pilot projek</w:t>
      </w:r>
      <w:r w:rsidR="004E693D">
        <w:t>a</w:t>
      </w:r>
      <w:r w:rsidRPr="00547F95">
        <w:t>ta</w:t>
      </w:r>
      <w:r w:rsidR="002111BD">
        <w:t>, koji su kao dobra praksa prepoznati i u Europi (</w:t>
      </w:r>
      <w:r w:rsidR="005957B2">
        <w:t xml:space="preserve">primjerice </w:t>
      </w:r>
      <w:r w:rsidR="002111BD">
        <w:t>Njemačka)</w:t>
      </w:r>
      <w:r w:rsidRPr="00547F95">
        <w:t xml:space="preserve"> te će, po njegovu završetku i uzimajući u obzir stečena iskustva i utvrđene potrebe tržišta, prema potrebi revidirati i dopuniti Smjernice.</w:t>
      </w:r>
      <w:r w:rsidR="00264BC2">
        <w:br w:type="page"/>
      </w:r>
    </w:p>
    <w:p w14:paraId="32D6092E" w14:textId="3C6CF4D0" w:rsidR="00891CCC" w:rsidRPr="00983F7D" w:rsidRDefault="00B63099" w:rsidP="001767CB">
      <w:pPr>
        <w:pStyle w:val="Nazivpoglavlja"/>
        <w:numPr>
          <w:ilvl w:val="0"/>
          <w:numId w:val="3"/>
        </w:numPr>
      </w:pPr>
      <w:bookmarkStart w:id="3" w:name="_Toc239944251"/>
      <w:r>
        <w:lastRenderedPageBreak/>
        <w:t>Stanje na tržištu</w:t>
      </w:r>
      <w:r w:rsidR="00527569">
        <w:t xml:space="preserve"> </w:t>
      </w:r>
      <w:r w:rsidR="00571E5C">
        <w:t>Republike Hrvatske</w:t>
      </w:r>
      <w:bookmarkEnd w:id="3"/>
    </w:p>
    <w:p w14:paraId="15FA212F" w14:textId="7A2392FE" w:rsidR="00C601E4" w:rsidRDefault="00C601E4" w:rsidP="00F329E5">
      <w:pPr>
        <w:pStyle w:val="Osnovnifont"/>
        <w:spacing w:after="120"/>
      </w:pPr>
      <w:r>
        <w:t>Tržište elektroničkih komunikacija u Republici Hrvatskoj posljednjih godina obilježava snažan investicijski ciklus usmjeren prema razvoju mreža vrlo velikog kapaciteta (VHCN), pri čemu je posebno izražen rast ulaganja u svjetlovodne mreže (FTTH/B/DP). Komercijalna ulaganja operatora dominantno su koncentrirana u urbanim i sub</w:t>
      </w:r>
      <w:r w:rsidR="00E362AE">
        <w:t>-</w:t>
      </w:r>
      <w:r>
        <w:t>urbanim, gušće naseljenim područjima, gdje su ekonomski uvjeti za povrat ulaganja najpovoljniji.</w:t>
      </w:r>
    </w:p>
    <w:p w14:paraId="37D7BC13" w14:textId="2ADB7A8C" w:rsidR="00C601E4" w:rsidRDefault="00C601E4" w:rsidP="00F329E5">
      <w:pPr>
        <w:pStyle w:val="Osnovnifont"/>
      </w:pPr>
      <w:r>
        <w:t xml:space="preserve">Naime, kako je vidljivo iz </w:t>
      </w:r>
      <w:r w:rsidR="00F329E5">
        <w:fldChar w:fldCharType="begin"/>
      </w:r>
      <w:r w:rsidR="00F329E5">
        <w:instrText xml:space="preserve"> REF _Ref230855720 \h </w:instrText>
      </w:r>
      <w:r w:rsidR="00F329E5">
        <w:fldChar w:fldCharType="separate"/>
      </w:r>
      <w:r w:rsidR="00160587">
        <w:t xml:space="preserve">Slika </w:t>
      </w:r>
      <w:r w:rsidR="00160587">
        <w:rPr>
          <w:noProof/>
        </w:rPr>
        <w:t>1</w:t>
      </w:r>
      <w:r w:rsidR="00F329E5">
        <w:fldChar w:fldCharType="end"/>
      </w:r>
      <w:r>
        <w:t xml:space="preserve"> ulaganja operatora u FTTH/B/DP mreže kontinuirano rastu tijekom promatranog razdoblja, s približno 73,5 milijuna EUR u 2022. na 125,5 milijuna EUR u 2025. Istodobno, ulaganja u kabelske HFC mreže kontinuirano se smanjuju, s 17,6 milijuna EUR u 2022. na 10,2 milijuna EUR u 2025. Posljedično, ukupna ulaganja u VHCN mreže porasla su s 91 milijun EUR u 2022. na 135,7 milijuna EUR u 2025., što potvrđuje nastavak intenzivne modernizacije elektroničke komunikacijske infrastrukture u Republici Hrvatskoj.</w:t>
      </w:r>
    </w:p>
    <w:p w14:paraId="2DD6DC71" w14:textId="684F6AD6" w:rsidR="00F329E5" w:rsidRDefault="008011EC" w:rsidP="00C601E4">
      <w:pPr>
        <w:spacing w:before="120" w:after="60"/>
        <w:jc w:val="both"/>
        <w:rPr>
          <w:rFonts w:ascii="Calibri" w:eastAsia="Calibri" w:hAnsi="Calibri" w:cs="Calibri"/>
          <w:i/>
          <w:color w:val="44546A"/>
          <w:sz w:val="18"/>
          <w:szCs w:val="18"/>
        </w:rPr>
      </w:pPr>
      <w:r>
        <w:rPr>
          <w:rFonts w:ascii="Calibri" w:eastAsia="Calibri" w:hAnsi="Calibri" w:cs="Calibri"/>
          <w:i/>
          <w:noProof/>
          <w:color w:val="44546A"/>
          <w:sz w:val="18"/>
          <w:szCs w:val="18"/>
          <w:lang w:val="en-US" w:eastAsia="en-US"/>
        </w:rPr>
        <w:drawing>
          <wp:inline distT="0" distB="0" distL="0" distR="0" wp14:anchorId="59FAA07A" wp14:editId="51AD9B49">
            <wp:extent cx="6115050" cy="27559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2755900"/>
                    </a:xfrm>
                    <a:prstGeom prst="rect">
                      <a:avLst/>
                    </a:prstGeom>
                    <a:noFill/>
                  </pic:spPr>
                </pic:pic>
              </a:graphicData>
            </a:graphic>
          </wp:inline>
        </w:drawing>
      </w:r>
    </w:p>
    <w:p w14:paraId="5B44E9C8" w14:textId="6BC54A61" w:rsidR="00F329E5" w:rsidRDefault="00F329E5" w:rsidP="00F329E5">
      <w:pPr>
        <w:pStyle w:val="Caption"/>
        <w:jc w:val="center"/>
        <w:rPr>
          <w:rFonts w:ascii="Calibri" w:eastAsia="Calibri" w:hAnsi="Calibri" w:cs="Calibri"/>
          <w:i/>
          <w:color w:val="44546A"/>
          <w:sz w:val="18"/>
        </w:rPr>
      </w:pPr>
      <w:bookmarkStart w:id="4" w:name="_Ref230855720"/>
      <w:bookmarkStart w:id="5" w:name="_Toc239944335"/>
      <w:r>
        <w:t xml:space="preserve">Slika </w:t>
      </w:r>
      <w:fldSimple w:instr=" SEQ Slika \* ARABIC ">
        <w:r w:rsidR="00160587">
          <w:rPr>
            <w:noProof/>
          </w:rPr>
          <w:t>1</w:t>
        </w:r>
      </w:fldSimple>
      <w:bookmarkEnd w:id="4"/>
      <w:r w:rsidR="00E53A85">
        <w:rPr>
          <w:noProof/>
        </w:rPr>
        <w:t>.</w:t>
      </w:r>
      <w:r>
        <w:t xml:space="preserve"> Ukupna ulaganja u mreže vrlo velikog kapaciteta (VHCN) - Izvor: HAKOM</w:t>
      </w:r>
      <w:r w:rsidR="004B4BFD">
        <w:t xml:space="preserve"> na temelju podataka operatora</w:t>
      </w:r>
      <w:bookmarkEnd w:id="5"/>
    </w:p>
    <w:p w14:paraId="40373EC6" w14:textId="775B3E01" w:rsidR="00C601E4" w:rsidRDefault="00C601E4" w:rsidP="00F329E5">
      <w:pPr>
        <w:pStyle w:val="Osnovnifont"/>
      </w:pPr>
      <w:r>
        <w:t>Prema podacima s kraja lipnja 2025.</w:t>
      </w:r>
      <w:r w:rsidR="00F329E5">
        <w:t xml:space="preserve"> (</w:t>
      </w:r>
      <w:r w:rsidR="00F329E5">
        <w:fldChar w:fldCharType="begin"/>
      </w:r>
      <w:r w:rsidR="00F329E5">
        <w:instrText xml:space="preserve"> REF _Ref230855783 \h </w:instrText>
      </w:r>
      <w:r w:rsidR="00F329E5">
        <w:fldChar w:fldCharType="separate"/>
      </w:r>
      <w:r w:rsidR="00160587">
        <w:t xml:space="preserve">Slika </w:t>
      </w:r>
      <w:r w:rsidR="00160587">
        <w:rPr>
          <w:noProof/>
        </w:rPr>
        <w:t>2</w:t>
      </w:r>
      <w:r w:rsidR="00F329E5">
        <w:fldChar w:fldCharType="end"/>
      </w:r>
      <w:r w:rsidR="00F329E5">
        <w:t>)</w:t>
      </w:r>
      <w:r>
        <w:t xml:space="preserve"> VHCN mrežom bilo je pokriveno 82,7</w:t>
      </w:r>
      <w:r w:rsidR="00D0270E">
        <w:t xml:space="preserve"> %</w:t>
      </w:r>
      <w:r>
        <w:t xml:space="preserve"> kućanstava, što predstavlja snažan četverogodišnji rast od više od 21 postotni bod. Posebno je izražen rast pokrivenosti FTTH/B/DP mrežom, koja je povećana s 53,9</w:t>
      </w:r>
      <w:r w:rsidR="0079697B">
        <w:t xml:space="preserve"> </w:t>
      </w:r>
      <w:r>
        <w:t>% na 77,9</w:t>
      </w:r>
      <w:r w:rsidR="0079697B">
        <w:t xml:space="preserve"> </w:t>
      </w:r>
      <w:r>
        <w:t>%, što potvrđuje ubrzanu izgradnju svjetlovodne infrastrukture diljem Republike Hrvatske. Istovremeno, DOCSIS 3.1+</w:t>
      </w:r>
      <w:r w:rsidR="000B1383">
        <w:rPr>
          <w:rStyle w:val="FootnoteReference"/>
        </w:rPr>
        <w:footnoteReference w:id="2"/>
      </w:r>
      <w:r>
        <w:t xml:space="preserve"> pokrivenost ostaje relativno stabilna te se kreće oko 35</w:t>
      </w:r>
      <w:r w:rsidR="0079697B">
        <w:t xml:space="preserve"> </w:t>
      </w:r>
      <w:r>
        <w:t>%, što dodatno potvrđuje da se najveći dio novih ulaganja usmjerava upravo prema FTTH/B/DP mrežama. Navedeni trendovi pokazuju kako FTTH/B/DP postupno postaje dominantna infrastruktura za pružanje gigabitnih usluga u nepokretnoj mreži.</w:t>
      </w:r>
    </w:p>
    <w:p w14:paraId="57C03D17" w14:textId="1F4B631F" w:rsidR="00F329E5" w:rsidRDefault="00C601E4" w:rsidP="00C601E4">
      <w:pPr>
        <w:spacing w:before="120" w:after="60"/>
        <w:jc w:val="both"/>
        <w:rPr>
          <w:rFonts w:ascii="Calibri" w:eastAsia="Calibri" w:hAnsi="Calibri" w:cs="Calibri"/>
          <w:i/>
          <w:color w:val="44546A"/>
          <w:sz w:val="18"/>
          <w:szCs w:val="18"/>
        </w:rPr>
      </w:pPr>
      <w:r w:rsidRPr="00C23C9B">
        <w:rPr>
          <w:rFonts w:ascii="Calibri" w:eastAsia="Calibri" w:hAnsi="Calibri" w:cs="Calibri"/>
          <w:i/>
          <w:color w:val="44546A"/>
          <w:sz w:val="18"/>
          <w:szCs w:val="18"/>
        </w:rPr>
        <w:lastRenderedPageBreak/>
        <w:t xml:space="preserve"> </w:t>
      </w:r>
      <w:r w:rsidR="008011EC">
        <w:rPr>
          <w:rFonts w:ascii="Calibri" w:eastAsia="Calibri" w:hAnsi="Calibri" w:cs="Calibri"/>
          <w:i/>
          <w:noProof/>
          <w:color w:val="44546A"/>
          <w:sz w:val="18"/>
          <w:szCs w:val="18"/>
          <w:lang w:val="en-US" w:eastAsia="en-US"/>
        </w:rPr>
        <w:drawing>
          <wp:inline distT="0" distB="0" distL="0" distR="0" wp14:anchorId="09F8A99F" wp14:editId="07E55C5B">
            <wp:extent cx="6047740" cy="24752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7740" cy="2475230"/>
                    </a:xfrm>
                    <a:prstGeom prst="rect">
                      <a:avLst/>
                    </a:prstGeom>
                    <a:noFill/>
                  </pic:spPr>
                </pic:pic>
              </a:graphicData>
            </a:graphic>
          </wp:inline>
        </w:drawing>
      </w:r>
    </w:p>
    <w:p w14:paraId="615D6D13" w14:textId="52F5AACB" w:rsidR="00F329E5" w:rsidRDefault="00F329E5" w:rsidP="00F329E5">
      <w:pPr>
        <w:pStyle w:val="Caption"/>
        <w:jc w:val="center"/>
        <w:rPr>
          <w:rFonts w:ascii="Calibri" w:eastAsia="Calibri" w:hAnsi="Calibri" w:cs="Calibri"/>
          <w:i/>
          <w:color w:val="44546A"/>
          <w:sz w:val="18"/>
        </w:rPr>
      </w:pPr>
      <w:bookmarkStart w:id="6" w:name="_Ref230855783"/>
      <w:bookmarkStart w:id="7" w:name="_Toc239944336"/>
      <w:r>
        <w:t xml:space="preserve">Slika </w:t>
      </w:r>
      <w:fldSimple w:instr=" SEQ Slika \* ARABIC ">
        <w:r w:rsidR="00160587">
          <w:rPr>
            <w:noProof/>
          </w:rPr>
          <w:t>2</w:t>
        </w:r>
      </w:fldSimple>
      <w:bookmarkEnd w:id="6"/>
      <w:r w:rsidR="00E53A85">
        <w:rPr>
          <w:noProof/>
        </w:rPr>
        <w:t>.</w:t>
      </w:r>
      <w:r w:rsidRPr="0032411E">
        <w:rPr>
          <w:noProof/>
        </w:rPr>
        <w:t xml:space="preserve"> Pokrivanje VHCN  mrežom – ukupna pokrivenost kućanstava – Iz</w:t>
      </w:r>
      <w:r w:rsidR="00364E51">
        <w:rPr>
          <w:noProof/>
        </w:rPr>
        <w:t xml:space="preserve">vor: </w:t>
      </w:r>
      <w:r w:rsidR="00624D48">
        <w:rPr>
          <w:noProof/>
        </w:rPr>
        <w:t>Izvještaj</w:t>
      </w:r>
      <w:r w:rsidR="00364E51">
        <w:rPr>
          <w:noProof/>
        </w:rPr>
        <w:t xml:space="preserve"> Europske komisije</w:t>
      </w:r>
      <w:r w:rsidR="00364E51" w:rsidDel="00624D48">
        <w:rPr>
          <w:noProof/>
        </w:rPr>
        <w:t xml:space="preserve"> </w:t>
      </w:r>
      <w:r w:rsidR="00624D48" w:rsidRPr="00035E34">
        <w:rPr>
          <w:i/>
          <w:iCs w:val="0"/>
          <w:noProof/>
        </w:rPr>
        <w:t>Digital Decade 2026</w:t>
      </w:r>
      <w:r w:rsidR="00035E34">
        <w:rPr>
          <w:rStyle w:val="FootnoteReference"/>
          <w:i/>
          <w:iCs w:val="0"/>
          <w:noProof/>
        </w:rPr>
        <w:footnoteReference w:id="3"/>
      </w:r>
      <w:bookmarkEnd w:id="7"/>
    </w:p>
    <w:p w14:paraId="6A70CD6F" w14:textId="1E748B9D" w:rsidR="00C601E4" w:rsidRDefault="00C601E4" w:rsidP="00C601E4">
      <w:pPr>
        <w:spacing w:before="120" w:after="60"/>
        <w:jc w:val="both"/>
      </w:pPr>
      <w:r>
        <w:t>Posebno pozitivan trend vidljiv je u ruralnim</w:t>
      </w:r>
      <w:r w:rsidR="000E1AA7">
        <w:rPr>
          <w:rStyle w:val="FootnoteReference"/>
        </w:rPr>
        <w:footnoteReference w:id="4"/>
      </w:r>
      <w:r>
        <w:t xml:space="preserve"> područjima, gdje je u posljednjih nekoliko godina zabilježen izrazito snažan rast VHCN pokrivenosti. Naime,  ruralna VHCN pokrivenost povećana je s 19,2</w:t>
      </w:r>
      <w:r w:rsidR="003B6041">
        <w:t xml:space="preserve"> </w:t>
      </w:r>
      <w:r>
        <w:t>% u 2022. na 54,2</w:t>
      </w:r>
      <w:r w:rsidR="003B6041">
        <w:t xml:space="preserve"> </w:t>
      </w:r>
      <w:r>
        <w:t>% u 2025., dok je FTTH/B/DP ruralna pokrivenost porasla s 13,7</w:t>
      </w:r>
      <w:r w:rsidR="003B6041">
        <w:t xml:space="preserve"> </w:t>
      </w:r>
      <w:r>
        <w:t>% u 2022. na 53,8</w:t>
      </w:r>
      <w:r w:rsidR="003B6041">
        <w:t xml:space="preserve"> </w:t>
      </w:r>
      <w:r>
        <w:t xml:space="preserve">% u 2025. </w:t>
      </w:r>
      <w:r w:rsidR="00D1582B">
        <w:t>N</w:t>
      </w:r>
      <w:r>
        <w:t>avedeni podaci (</w:t>
      </w:r>
      <w:r w:rsidR="000E1AA7">
        <w:fldChar w:fldCharType="begin"/>
      </w:r>
      <w:r w:rsidR="000E1AA7">
        <w:instrText xml:space="preserve"> REF _Ref230856195 \h </w:instrText>
      </w:r>
      <w:r w:rsidR="000E1AA7">
        <w:fldChar w:fldCharType="separate"/>
      </w:r>
      <w:r w:rsidR="00C71357">
        <w:t>s</w:t>
      </w:r>
      <w:r w:rsidR="00160587">
        <w:t xml:space="preserve">lika </w:t>
      </w:r>
      <w:r w:rsidR="00160587">
        <w:rPr>
          <w:noProof/>
        </w:rPr>
        <w:t>3</w:t>
      </w:r>
      <w:r w:rsidR="000E1AA7">
        <w:fldChar w:fldCharType="end"/>
      </w:r>
      <w:r>
        <w:t xml:space="preserve">) ukazuju na više nego trostruko </w:t>
      </w:r>
      <w:r w:rsidRPr="00D1582B">
        <w:t>povećanje</w:t>
      </w:r>
      <w:r>
        <w:t xml:space="preserve"> dostupnosti FTTH/B/DP mreža u ruralnim područjima u relativno kratkom vremenskom razdoblju. </w:t>
      </w:r>
      <w:r w:rsidR="00D1582B">
        <w:t xml:space="preserve">Iako </w:t>
      </w:r>
      <w:r>
        <w:t>trend ukazuje na smanjenje digitalnog jaza između urbanih i ruralnih sredina i dalje postoje značajne razlike u dostupnosti infrastrukture. Stoga je i dalje važno nastaviti s provedbom programa državnih potpora kako bi se sufinancirala izgradnja VHCN mreža u slabije razvijenim područjima.</w:t>
      </w:r>
    </w:p>
    <w:p w14:paraId="6D43B1C5" w14:textId="52D9A338" w:rsidR="00C601E4" w:rsidRDefault="008011EC" w:rsidP="00C601E4">
      <w:pPr>
        <w:spacing w:before="120" w:after="60"/>
        <w:jc w:val="both"/>
        <w:rPr>
          <w:rFonts w:ascii="Calibri" w:eastAsia="Calibri" w:hAnsi="Calibri" w:cs="Calibri"/>
          <w:i/>
          <w:color w:val="44546A"/>
          <w:sz w:val="18"/>
          <w:szCs w:val="18"/>
        </w:rPr>
      </w:pPr>
      <w:r>
        <w:rPr>
          <w:rFonts w:ascii="Calibri" w:eastAsia="Calibri" w:hAnsi="Calibri" w:cs="Calibri"/>
          <w:i/>
          <w:noProof/>
          <w:color w:val="44546A"/>
          <w:sz w:val="18"/>
          <w:szCs w:val="18"/>
          <w:lang w:val="en-US" w:eastAsia="en-US"/>
        </w:rPr>
        <w:drawing>
          <wp:inline distT="0" distB="0" distL="0" distR="0" wp14:anchorId="6E2D78F2" wp14:editId="22FEF9E9">
            <wp:extent cx="6108700" cy="226822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08700" cy="2268220"/>
                    </a:xfrm>
                    <a:prstGeom prst="rect">
                      <a:avLst/>
                    </a:prstGeom>
                    <a:noFill/>
                  </pic:spPr>
                </pic:pic>
              </a:graphicData>
            </a:graphic>
          </wp:inline>
        </w:drawing>
      </w:r>
    </w:p>
    <w:p w14:paraId="04CC03BF" w14:textId="2E43CE36" w:rsidR="000E1AA7" w:rsidRDefault="000E1AA7" w:rsidP="00174DFA">
      <w:pPr>
        <w:pStyle w:val="Caption"/>
        <w:spacing w:after="0"/>
        <w:jc w:val="center"/>
        <w:rPr>
          <w:rFonts w:ascii="Calibri" w:eastAsia="Calibri" w:hAnsi="Calibri" w:cs="Calibri"/>
          <w:i/>
          <w:color w:val="44546A"/>
          <w:sz w:val="18"/>
        </w:rPr>
      </w:pPr>
      <w:bookmarkStart w:id="8" w:name="_Ref230856195"/>
      <w:bookmarkStart w:id="9" w:name="_Toc239944337"/>
      <w:r>
        <w:t xml:space="preserve">Slika </w:t>
      </w:r>
      <w:fldSimple w:instr=" SEQ Slika \* ARABIC ">
        <w:r w:rsidR="00160587">
          <w:rPr>
            <w:noProof/>
          </w:rPr>
          <w:t>3</w:t>
        </w:r>
      </w:fldSimple>
      <w:bookmarkEnd w:id="8"/>
      <w:r w:rsidR="00E53A85">
        <w:rPr>
          <w:noProof/>
        </w:rPr>
        <w:t>.</w:t>
      </w:r>
      <w:r w:rsidRPr="00BD3EEC">
        <w:t xml:space="preserve"> Pokrivanje VHCN  mrežom – ruralna pokrivenost kućanstava – Iz</w:t>
      </w:r>
      <w:r w:rsidR="00364E51">
        <w:t xml:space="preserve">vor: </w:t>
      </w:r>
      <w:r w:rsidR="00D26746">
        <w:t>Izvještaj</w:t>
      </w:r>
      <w:r w:rsidR="00364E51">
        <w:t xml:space="preserve"> Europske komisije </w:t>
      </w:r>
      <w:r w:rsidR="00D26746">
        <w:rPr>
          <w:i/>
          <w:lang w:val="en-US"/>
        </w:rPr>
        <w:t>Digital Decade 2026</w:t>
      </w:r>
      <w:bookmarkEnd w:id="9"/>
    </w:p>
    <w:p w14:paraId="44457DB6" w14:textId="34A303B7" w:rsidR="00C601E4" w:rsidRDefault="00C601E4" w:rsidP="00C601E4">
      <w:pPr>
        <w:spacing w:before="120" w:after="60"/>
        <w:jc w:val="both"/>
      </w:pPr>
      <w:r>
        <w:lastRenderedPageBreak/>
        <w:t>Paralelno s rastom dostupnosti VHCN mreža, vidljiv je i snažan rast broja priključaka na navedenim mrežama (</w:t>
      </w:r>
      <w:r w:rsidR="00661601">
        <w:fldChar w:fldCharType="begin"/>
      </w:r>
      <w:r w:rsidR="00661601">
        <w:instrText xml:space="preserve"> REF _Ref230856295 \h </w:instrText>
      </w:r>
      <w:r w:rsidR="00661601">
        <w:fldChar w:fldCharType="separate"/>
      </w:r>
      <w:r w:rsidR="00160587">
        <w:t xml:space="preserve">Slika </w:t>
      </w:r>
      <w:r w:rsidR="00160587">
        <w:rPr>
          <w:noProof/>
        </w:rPr>
        <w:t>4</w:t>
      </w:r>
      <w:r w:rsidR="00661601">
        <w:fldChar w:fldCharType="end"/>
      </w:r>
      <w:r>
        <w:t xml:space="preserve">), što potvrđuje da korisnici sve intenzivnije migriraju prema mrežama vrlo velikog kapaciteta. Broj priključaka putem FTTH/B/DP povećan je s 195.365 priključka u 2022. na 470.996 priključaka u 2025., odnosno više nego dvostruko. Istodobno, ukupan broj VHCN priključaka povećan je s 372.642 priključka na 618.640 priključaka. Nasuprot tome, broj priključaka putem DOCSIS 3.x kontinuirano se smanjuje, što ukazuje da se rast </w:t>
      </w:r>
      <w:r w:rsidR="0040151A">
        <w:t>broja VHCN korisnika</w:t>
      </w:r>
      <w:r>
        <w:t xml:space="preserve"> primarno temelji na migraciji korisnika prema FTTH/B/DP mrežama.</w:t>
      </w:r>
    </w:p>
    <w:p w14:paraId="6EB4066A" w14:textId="48A8F409" w:rsidR="00C601E4" w:rsidRDefault="008011EC" w:rsidP="00C601E4">
      <w:pPr>
        <w:spacing w:before="120" w:after="60"/>
        <w:jc w:val="both"/>
        <w:rPr>
          <w:rFonts w:ascii="Calibri" w:eastAsia="Calibri" w:hAnsi="Calibri" w:cs="Calibri"/>
          <w:i/>
          <w:color w:val="44546A"/>
          <w:sz w:val="18"/>
          <w:szCs w:val="18"/>
        </w:rPr>
      </w:pPr>
      <w:r>
        <w:rPr>
          <w:rFonts w:ascii="Calibri" w:eastAsia="Calibri" w:hAnsi="Calibri" w:cs="Calibri"/>
          <w:i/>
          <w:noProof/>
          <w:color w:val="44546A"/>
          <w:sz w:val="18"/>
          <w:szCs w:val="18"/>
          <w:lang w:val="en-US" w:eastAsia="en-US"/>
        </w:rPr>
        <w:drawing>
          <wp:inline distT="0" distB="0" distL="0" distR="0" wp14:anchorId="6EEF8689" wp14:editId="2E9AD17F">
            <wp:extent cx="6108700" cy="28956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8700" cy="2895600"/>
                    </a:xfrm>
                    <a:prstGeom prst="rect">
                      <a:avLst/>
                    </a:prstGeom>
                    <a:noFill/>
                  </pic:spPr>
                </pic:pic>
              </a:graphicData>
            </a:graphic>
          </wp:inline>
        </w:drawing>
      </w:r>
    </w:p>
    <w:p w14:paraId="24909414" w14:textId="4451C49E" w:rsidR="00661601" w:rsidRDefault="00661601" w:rsidP="00661601">
      <w:pPr>
        <w:pStyle w:val="Caption"/>
        <w:jc w:val="center"/>
      </w:pPr>
      <w:bookmarkStart w:id="10" w:name="_Ref230856295"/>
      <w:bookmarkStart w:id="11" w:name="_Toc239944338"/>
      <w:r>
        <w:t xml:space="preserve">Slika </w:t>
      </w:r>
      <w:fldSimple w:instr=" SEQ Slika \* ARABIC ">
        <w:r w:rsidR="00160587">
          <w:rPr>
            <w:noProof/>
          </w:rPr>
          <w:t>4</w:t>
        </w:r>
      </w:fldSimple>
      <w:bookmarkEnd w:id="10"/>
      <w:r w:rsidR="00E53A85">
        <w:rPr>
          <w:noProof/>
        </w:rPr>
        <w:t>.</w:t>
      </w:r>
      <w:r w:rsidRPr="00C547C5">
        <w:t xml:space="preserve"> Broj VHCN priključaka u nepokretnoj mreži – Izvor: HAKOM</w:t>
      </w:r>
      <w:r w:rsidR="004B4BFD">
        <w:t xml:space="preserve"> na temelju podataka operatora</w:t>
      </w:r>
      <w:bookmarkEnd w:id="11"/>
    </w:p>
    <w:p w14:paraId="04BD0D7E" w14:textId="37A73014" w:rsidR="00C601E4" w:rsidRDefault="00C601E4" w:rsidP="00C601E4">
      <w:pPr>
        <w:spacing w:before="120" w:after="60"/>
        <w:jc w:val="both"/>
      </w:pPr>
      <w:r>
        <w:t xml:space="preserve">Kako je vidljivo iz </w:t>
      </w:r>
      <w:r w:rsidR="00661601">
        <w:fldChar w:fldCharType="begin"/>
      </w:r>
      <w:r w:rsidR="00661601">
        <w:instrText xml:space="preserve"> REF _Ref230856388 \h </w:instrText>
      </w:r>
      <w:r w:rsidR="00661601">
        <w:fldChar w:fldCharType="separate"/>
      </w:r>
      <w:r w:rsidR="00160587">
        <w:t xml:space="preserve">Slika </w:t>
      </w:r>
      <w:r w:rsidR="00160587">
        <w:rPr>
          <w:noProof/>
        </w:rPr>
        <w:t>5</w:t>
      </w:r>
      <w:r w:rsidR="00661601">
        <w:fldChar w:fldCharType="end"/>
      </w:r>
      <w:r>
        <w:t xml:space="preserve"> na tržištu širokopojasnog pristupa internetu prisutan je trend tržišne migracije korisnika, a posebno je izražena migracija na FTTH/B/DP mreže. Broj priključaka na bakrenoj mreži </w:t>
      </w:r>
      <w:r w:rsidR="000C76DD">
        <w:t xml:space="preserve">(xDSL) </w:t>
      </w:r>
      <w:r>
        <w:t>smanjen je sa 666.721 priključka u 2022. na 466.111 priključka u prvom tromjesečju 2026., odnosno za približno 200 tisuća priključaka. U isto vrijeme, broj FTTH/B/DP priključaka povećan je s 194.352 na 496.816 priključka, pri čemu je broj FTTH/B/</w:t>
      </w:r>
      <w:r w:rsidR="001C3316">
        <w:t>DP</w:t>
      </w:r>
      <w:r>
        <w:t xml:space="preserve"> priključaka prvi put premašio broj priključaka na tradicionalnoj bakrenoj mreži. </w:t>
      </w:r>
      <w:r w:rsidR="00B25CB8">
        <w:t xml:space="preserve">Time FTTH/B/DP postaje dominantna tehnologija pristupa internetu u nepokretnoj mreži. </w:t>
      </w:r>
      <w:r>
        <w:t>Osim porasta FTTH priključaka, primjećuje se i blagi porast broja FWA (Fixed Wireless Access) priključaka, čemu najviše doprinose 5G FWA rješenja, te porast broja satelitskih priključaka, što je ponajviše posljedica ulaska Starlink</w:t>
      </w:r>
      <w:r w:rsidR="00C93E42">
        <w:t>-</w:t>
      </w:r>
      <w:r>
        <w:t xml:space="preserve">a na tržište, dok broj korisnika pristupa na fiksnoj lokaciji putem pokretne mreže (FMA) ostaje relativno stabilan. Navedeni </w:t>
      </w:r>
      <w:r w:rsidR="00624D48">
        <w:t>trend migracije korisnika sa tradicionalne bakrene mreže</w:t>
      </w:r>
      <w:r>
        <w:t xml:space="preserve"> predstavlja jednu od ključnih prekretnica u razvoju tržišta elektroničkih komunikacija u Republici Hrvatskoj te jasno potvrđuje ubrzanu tranziciju prema mrežama vrlo velikog kapaciteta. </w:t>
      </w:r>
    </w:p>
    <w:p w14:paraId="2675FF3D" w14:textId="650CFA82" w:rsidR="00C601E4" w:rsidRDefault="008011EC" w:rsidP="00C601E4">
      <w:pPr>
        <w:spacing w:before="120" w:after="60"/>
        <w:jc w:val="both"/>
      </w:pPr>
      <w:r>
        <w:rPr>
          <w:noProof/>
          <w:lang w:val="en-US" w:eastAsia="en-US"/>
        </w:rPr>
        <w:lastRenderedPageBreak/>
        <w:drawing>
          <wp:inline distT="0" distB="0" distL="0" distR="0" wp14:anchorId="68FD34E6" wp14:editId="79C3DC7F">
            <wp:extent cx="6120765" cy="34385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3438525"/>
                    </a:xfrm>
                    <a:prstGeom prst="rect">
                      <a:avLst/>
                    </a:prstGeom>
                    <a:noFill/>
                  </pic:spPr>
                </pic:pic>
              </a:graphicData>
            </a:graphic>
          </wp:inline>
        </w:drawing>
      </w:r>
    </w:p>
    <w:p w14:paraId="78AAEDEF" w14:textId="507AAB0F" w:rsidR="00661601" w:rsidRDefault="00661601" w:rsidP="00661601">
      <w:pPr>
        <w:pStyle w:val="Caption"/>
        <w:jc w:val="center"/>
      </w:pPr>
      <w:bookmarkStart w:id="12" w:name="_Ref230856388"/>
      <w:bookmarkStart w:id="13" w:name="_Toc239944339"/>
      <w:r>
        <w:t xml:space="preserve">Slika </w:t>
      </w:r>
      <w:fldSimple w:instr=" SEQ Slika \* ARABIC ">
        <w:r w:rsidR="00160587">
          <w:rPr>
            <w:noProof/>
          </w:rPr>
          <w:t>5</w:t>
        </w:r>
      </w:fldSimple>
      <w:bookmarkEnd w:id="12"/>
      <w:r w:rsidR="00E53A85">
        <w:rPr>
          <w:noProof/>
        </w:rPr>
        <w:t>.</w:t>
      </w:r>
      <w:r w:rsidRPr="00725DFA">
        <w:rPr>
          <w:noProof/>
        </w:rPr>
        <w:t xml:space="preserve"> Broj širokopojasnih priključaka u nepokretnoj mreži – Izvor: HAKOM</w:t>
      </w:r>
      <w:r w:rsidR="004B4BFD" w:rsidRPr="004B4BFD">
        <w:t xml:space="preserve"> </w:t>
      </w:r>
      <w:r w:rsidR="004B4BFD">
        <w:t>na temelju podataka operatora</w:t>
      </w:r>
      <w:bookmarkEnd w:id="13"/>
    </w:p>
    <w:p w14:paraId="5293D8E1" w14:textId="713F6624" w:rsidR="004E33F2" w:rsidRDefault="00EA345F" w:rsidP="00C601E4">
      <w:pPr>
        <w:spacing w:before="120" w:after="60"/>
        <w:jc w:val="both"/>
      </w:pPr>
      <w:r w:rsidRPr="00EA345F">
        <w:t>Sličan trend prisutan je i na tržištu javne govorne telefonske usluge u nepokretnoj mreži</w:t>
      </w:r>
      <w:r w:rsidR="00DE2A97">
        <w:t xml:space="preserve">, </w:t>
      </w:r>
      <w:r w:rsidR="00DE2A97" w:rsidRPr="00DE2A97">
        <w:t>budući da se više od 80</w:t>
      </w:r>
      <w:r w:rsidR="005957B2">
        <w:t xml:space="preserve"> </w:t>
      </w:r>
      <w:r w:rsidR="00DE2A97" w:rsidRPr="00DE2A97">
        <w:t>% svih priključaka javne govorne</w:t>
      </w:r>
      <w:r w:rsidR="00DE2A97">
        <w:t xml:space="preserve"> telefonske</w:t>
      </w:r>
      <w:r w:rsidR="00DE2A97" w:rsidRPr="00DE2A97">
        <w:t xml:space="preserve"> usluge pruža u paketima usluga, najčešće zajedno s</w:t>
      </w:r>
      <w:r w:rsidR="00E9434C">
        <w:t xml:space="preserve"> uslugom</w:t>
      </w:r>
      <w:r w:rsidR="00DE2A97" w:rsidRPr="00DE2A97">
        <w:t xml:space="preserve"> širokopoj</w:t>
      </w:r>
      <w:r w:rsidR="00E9434C">
        <w:t>asnog</w:t>
      </w:r>
      <w:r w:rsidR="00DE2A97" w:rsidRPr="00DE2A97">
        <w:t xml:space="preserve"> pristup</w:t>
      </w:r>
      <w:r w:rsidR="00E9434C">
        <w:t>a</w:t>
      </w:r>
      <w:r w:rsidR="00DE2A97" w:rsidRPr="00DE2A97">
        <w:t xml:space="preserve"> internetu. </w:t>
      </w:r>
      <w:r w:rsidR="004E33F2" w:rsidRPr="004E33F2">
        <w:t>Posljedično, migracija korisnika s bakrene mreže na</w:t>
      </w:r>
      <w:r w:rsidR="004E33F2">
        <w:t xml:space="preserve"> VHCN</w:t>
      </w:r>
      <w:r w:rsidR="004E33F2" w:rsidRPr="004E33F2">
        <w:t xml:space="preserve"> mreže u velikoj se mjeri odražava i na tržište javne govorne</w:t>
      </w:r>
      <w:r w:rsidR="004E33F2">
        <w:t xml:space="preserve"> telefonske</w:t>
      </w:r>
      <w:r w:rsidR="004E33F2" w:rsidRPr="004E33F2">
        <w:t xml:space="preserve"> usluge. Istodobno, za razliku od tržišta širokopojasnog pristupa internetu, tržište javne govorne telefonske usluge karakterizira i kontinuirani pad ukupnog broja priključaka, kao posljedica sve veće uporabe mobilnih komunikacijskih usluga i internetskih komunikacijskih aplikacija</w:t>
      </w:r>
      <w:r w:rsidR="004E33F2">
        <w:t>.</w:t>
      </w:r>
    </w:p>
    <w:p w14:paraId="3095D894" w14:textId="44C5B654" w:rsidR="0049599F" w:rsidRDefault="00E9434C" w:rsidP="00C601E4">
      <w:pPr>
        <w:spacing w:before="120" w:after="60"/>
        <w:jc w:val="both"/>
        <w:rPr>
          <w:highlight w:val="yellow"/>
        </w:rPr>
      </w:pPr>
      <w:r w:rsidRPr="00E9434C">
        <w:t>Unatoč intenzivnoj migraciji korisnika na</w:t>
      </w:r>
      <w:r w:rsidR="004E33F2">
        <w:t xml:space="preserve"> VHCN mreže</w:t>
      </w:r>
      <w:r w:rsidRPr="00E9434C">
        <w:t xml:space="preserve">, značajan broj korisnika i dalje koristi javnu govornu telefonsku uslugu kao samostalnu uslugu. Na kraju 2025. godine evidentirano je 203.813 aktivnih priključaka samostalne govorne usluge putem bakrene mreže </w:t>
      </w:r>
      <w:r w:rsidR="005957B2">
        <w:t>(</w:t>
      </w:r>
      <w:r w:rsidR="006270C7">
        <w:fldChar w:fldCharType="begin"/>
      </w:r>
      <w:r w:rsidR="006270C7">
        <w:instrText xml:space="preserve"> REF _Ref230870280 \h </w:instrText>
      </w:r>
      <w:r w:rsidR="006270C7">
        <w:fldChar w:fldCharType="separate"/>
      </w:r>
      <w:r w:rsidR="00160587">
        <w:t xml:space="preserve">Slika </w:t>
      </w:r>
      <w:r w:rsidR="00160587">
        <w:rPr>
          <w:noProof/>
        </w:rPr>
        <w:t>6</w:t>
      </w:r>
      <w:r w:rsidR="006270C7">
        <w:fldChar w:fldCharType="end"/>
      </w:r>
      <w:r w:rsidR="005957B2">
        <w:t>)</w:t>
      </w:r>
      <w:r w:rsidRPr="00E9434C">
        <w:t xml:space="preserve">, što ukazuje da dio korisnika i dalje ovisi o tradicionalnoj bakrenoj </w:t>
      </w:r>
      <w:r w:rsidR="006D595C">
        <w:t>mreži</w:t>
      </w:r>
      <w:r w:rsidRPr="00E9434C">
        <w:t xml:space="preserve"> za pružanje javne govorne usluge</w:t>
      </w:r>
      <w:r w:rsidR="009D6A87">
        <w:t>.</w:t>
      </w:r>
      <w:r w:rsidR="00EA345F" w:rsidRPr="00EA345F">
        <w:t xml:space="preserve"> Stoga</w:t>
      </w:r>
      <w:r w:rsidR="00001304">
        <w:t xml:space="preserve"> će </w:t>
      </w:r>
      <w:r w:rsidR="00EA345F" w:rsidRPr="00EA345F">
        <w:t>posebnu pozornost biti potrebno posvetiti korisnicima koji koriste isključivo telefonsku govornu uslugu te nemaju ugovorene druge elektroničke komunikacijske usluge, budući da upravo ta skupina korisnika može predstavljati najveći izazov u procesu potpune migracije s bakrene mreže</w:t>
      </w:r>
      <w:r w:rsidR="00EA345F">
        <w:t>.</w:t>
      </w:r>
    </w:p>
    <w:p w14:paraId="04007319" w14:textId="5C36CEFC" w:rsidR="00BB0383" w:rsidRDefault="008011EC" w:rsidP="00C601E4">
      <w:pPr>
        <w:spacing w:before="120" w:after="60"/>
        <w:jc w:val="both"/>
      </w:pPr>
      <w:r>
        <w:rPr>
          <w:noProof/>
          <w:lang w:val="en-US" w:eastAsia="en-US"/>
        </w:rPr>
        <w:lastRenderedPageBreak/>
        <w:drawing>
          <wp:inline distT="0" distB="0" distL="0" distR="0" wp14:anchorId="2760EED5" wp14:editId="1DE2ED63">
            <wp:extent cx="6108700" cy="2414270"/>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8700" cy="2414270"/>
                    </a:xfrm>
                    <a:prstGeom prst="rect">
                      <a:avLst/>
                    </a:prstGeom>
                    <a:noFill/>
                  </pic:spPr>
                </pic:pic>
              </a:graphicData>
            </a:graphic>
          </wp:inline>
        </w:drawing>
      </w:r>
    </w:p>
    <w:p w14:paraId="43F211FF" w14:textId="1BD6DD9E" w:rsidR="00BB0383" w:rsidRDefault="00B25CB8" w:rsidP="00B25CB8">
      <w:pPr>
        <w:pStyle w:val="Caption"/>
        <w:jc w:val="center"/>
      </w:pPr>
      <w:bookmarkStart w:id="14" w:name="_Ref230870280"/>
      <w:bookmarkStart w:id="15" w:name="_Toc239944340"/>
      <w:r>
        <w:t xml:space="preserve">Slika </w:t>
      </w:r>
      <w:fldSimple w:instr=" SEQ Slika \* ARABIC ">
        <w:r w:rsidR="00160587">
          <w:rPr>
            <w:noProof/>
          </w:rPr>
          <w:t>6</w:t>
        </w:r>
      </w:fldSimple>
      <w:bookmarkEnd w:id="14"/>
      <w:r w:rsidR="00E53A85">
        <w:rPr>
          <w:noProof/>
        </w:rPr>
        <w:t>.</w:t>
      </w:r>
      <w:r>
        <w:t xml:space="preserve"> </w:t>
      </w:r>
      <w:bookmarkStart w:id="16" w:name="_Ref231892563"/>
      <w:r>
        <w:t xml:space="preserve">Broj priključaka samostalne govorne usluge putem bakrene mreže </w:t>
      </w:r>
      <w:r w:rsidRPr="00725DFA">
        <w:rPr>
          <w:noProof/>
        </w:rPr>
        <w:t>–</w:t>
      </w:r>
      <w:r>
        <w:t xml:space="preserve"> Izvor: HAKOM</w:t>
      </w:r>
      <w:bookmarkEnd w:id="16"/>
      <w:r w:rsidR="004B4BFD" w:rsidRPr="004B4BFD">
        <w:t xml:space="preserve"> </w:t>
      </w:r>
      <w:r w:rsidR="004B4BFD">
        <w:t>na temelju podataka operatora</w:t>
      </w:r>
      <w:bookmarkEnd w:id="15"/>
    </w:p>
    <w:p w14:paraId="17CD9457" w14:textId="5EEB507E" w:rsidR="00C601E4" w:rsidRDefault="009D6A87" w:rsidP="00C601E4">
      <w:pPr>
        <w:spacing w:before="120" w:after="60"/>
        <w:jc w:val="both"/>
      </w:pPr>
      <w:r w:rsidRPr="009D6A87">
        <w:t>Kretanje udjela pojedinih tehnologija u ukupnom broju priključaka</w:t>
      </w:r>
      <w:r w:rsidR="00833E4F" w:rsidRPr="00833E4F">
        <w:t xml:space="preserve"> potvrđuje ubrzanu migraciju korisnika prema mrežama vrlo velikog kapaciteta. Kako je vidljivo iz </w:t>
      </w:r>
      <w:r w:rsidR="00144C38">
        <w:fldChar w:fldCharType="begin"/>
      </w:r>
      <w:r w:rsidR="00144C38">
        <w:instrText xml:space="preserve"> REF _Ref230856547 \h </w:instrText>
      </w:r>
      <w:r w:rsidR="00144C38">
        <w:fldChar w:fldCharType="separate"/>
      </w:r>
      <w:r w:rsidR="00160587">
        <w:t xml:space="preserve">Slika </w:t>
      </w:r>
      <w:r w:rsidR="00160587">
        <w:rPr>
          <w:noProof/>
        </w:rPr>
        <w:t>7</w:t>
      </w:r>
      <w:r w:rsidR="00144C38">
        <w:fldChar w:fldCharType="end"/>
      </w:r>
      <w:r w:rsidR="00833E4F" w:rsidRPr="00833E4F">
        <w:t xml:space="preserve">, udio priključaka ostvarenih putem bakrene </w:t>
      </w:r>
      <w:r w:rsidR="00833E4F">
        <w:t>mreže</w:t>
      </w:r>
      <w:r w:rsidR="00833E4F" w:rsidRPr="00833E4F">
        <w:t xml:space="preserve"> </w:t>
      </w:r>
      <w:r w:rsidR="000F326A">
        <w:t xml:space="preserve">u razdoblju od kraja 2022. pa do kraja 2025. </w:t>
      </w:r>
      <w:r w:rsidR="00833E4F" w:rsidRPr="00833E4F">
        <w:t xml:space="preserve">smanjen je za </w:t>
      </w:r>
      <w:r w:rsidR="00B96F8D">
        <w:t>16,2</w:t>
      </w:r>
      <w:r w:rsidR="00653930">
        <w:t xml:space="preserve"> </w:t>
      </w:r>
      <w:r w:rsidR="00833E4F" w:rsidRPr="00833E4F">
        <w:t>%, dok je udio FTTH/B/DP priključaka povećan za 1</w:t>
      </w:r>
      <w:r w:rsidR="00B96F8D">
        <w:t>6,7</w:t>
      </w:r>
      <w:r w:rsidR="00653930">
        <w:t xml:space="preserve"> </w:t>
      </w:r>
      <w:r w:rsidR="00833E4F" w:rsidRPr="00833E4F">
        <w:t>%.</w:t>
      </w:r>
      <w:r w:rsidR="00833E4F">
        <w:t xml:space="preserve"> Istovremeno</w:t>
      </w:r>
      <w:r w:rsidR="00833E4F" w:rsidRPr="00833E4F">
        <w:t xml:space="preserve"> se bilježi i blagi rast bežičnih</w:t>
      </w:r>
      <w:r w:rsidR="006D76A8">
        <w:t xml:space="preserve"> i satelitskih</w:t>
      </w:r>
      <w:r w:rsidR="00833E4F" w:rsidRPr="00833E4F">
        <w:t xml:space="preserve"> pristupnih tehnologija, dok ostale tehnologije uglavnom zadržavaju stabilan tržišni udio</w:t>
      </w:r>
      <w:r w:rsidR="00C601E4" w:rsidRPr="00B96F8D">
        <w:t xml:space="preserve">. </w:t>
      </w:r>
    </w:p>
    <w:p w14:paraId="2D16B202" w14:textId="4E62943C" w:rsidR="00C96CB1" w:rsidRDefault="008011EC" w:rsidP="00C601E4">
      <w:pPr>
        <w:spacing w:before="120" w:after="60"/>
        <w:jc w:val="both"/>
        <w:rPr>
          <w:rFonts w:ascii="Calibri" w:eastAsia="Calibri" w:hAnsi="Calibri" w:cs="Calibri"/>
          <w:i/>
          <w:color w:val="44546A"/>
          <w:sz w:val="18"/>
          <w:szCs w:val="18"/>
        </w:rPr>
      </w:pPr>
      <w:r>
        <w:rPr>
          <w:rFonts w:ascii="Calibri" w:eastAsia="Calibri" w:hAnsi="Calibri" w:cs="Calibri"/>
          <w:i/>
          <w:noProof/>
          <w:color w:val="44546A"/>
          <w:sz w:val="18"/>
          <w:szCs w:val="18"/>
          <w:lang w:val="en-US" w:eastAsia="en-US"/>
        </w:rPr>
        <w:drawing>
          <wp:inline distT="0" distB="0" distL="0" distR="0" wp14:anchorId="3361EA77" wp14:editId="28FC6B8C">
            <wp:extent cx="6108700" cy="301752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8700" cy="3017520"/>
                    </a:xfrm>
                    <a:prstGeom prst="rect">
                      <a:avLst/>
                    </a:prstGeom>
                    <a:noFill/>
                  </pic:spPr>
                </pic:pic>
              </a:graphicData>
            </a:graphic>
          </wp:inline>
        </w:drawing>
      </w:r>
    </w:p>
    <w:p w14:paraId="5FF3C493" w14:textId="6328D210" w:rsidR="00571E5C" w:rsidRDefault="00571E5C" w:rsidP="00571E5C">
      <w:pPr>
        <w:pStyle w:val="Caption"/>
        <w:jc w:val="center"/>
      </w:pPr>
      <w:bookmarkStart w:id="17" w:name="_Ref230856547"/>
      <w:bookmarkStart w:id="18" w:name="_Toc239944341"/>
      <w:r>
        <w:t xml:space="preserve">Slika </w:t>
      </w:r>
      <w:fldSimple w:instr=" SEQ Slika \* ARABIC ">
        <w:r w:rsidR="00160587">
          <w:rPr>
            <w:noProof/>
          </w:rPr>
          <w:t>7</w:t>
        </w:r>
      </w:fldSimple>
      <w:bookmarkEnd w:id="17"/>
      <w:r w:rsidR="00E53A85">
        <w:rPr>
          <w:noProof/>
        </w:rPr>
        <w:t>.</w:t>
      </w:r>
      <w:r w:rsidRPr="003A4666">
        <w:t xml:space="preserve"> Udjeli priključaka po pristupnim tehnologijama – Izvor: HAKOM</w:t>
      </w:r>
      <w:r w:rsidR="004B4BFD" w:rsidRPr="004B4BFD">
        <w:t xml:space="preserve"> </w:t>
      </w:r>
      <w:r w:rsidR="004B4BFD">
        <w:t>na temelju podataka operatora</w:t>
      </w:r>
      <w:bookmarkEnd w:id="18"/>
    </w:p>
    <w:p w14:paraId="055F49EE" w14:textId="7B31C630" w:rsidR="0068782D" w:rsidRDefault="00853A33" w:rsidP="00C601E4">
      <w:pPr>
        <w:spacing w:before="120" w:after="60"/>
        <w:jc w:val="both"/>
      </w:pPr>
      <w:r w:rsidRPr="00853A33">
        <w:t xml:space="preserve">Unatoč intenzivnoj migraciji korisnika na mreže vrlo velikog kapaciteta, proces gašenja bakrene mreže u Republici Hrvatskoj i dalje se nalazi u vrlo ranoj fazi. Do sada su zabilježeni tek izolirani slučajevi gašenja dijela bakrene mreže, koji se odnose na </w:t>
      </w:r>
      <w:r w:rsidR="00035E34">
        <w:t xml:space="preserve">nekoliko </w:t>
      </w:r>
      <w:r w:rsidRPr="00853A33">
        <w:t>MDF</w:t>
      </w:r>
      <w:r w:rsidR="000B1383">
        <w:t xml:space="preserve"> (</w:t>
      </w:r>
      <w:r w:rsidR="000B1383" w:rsidRPr="00815B36">
        <w:rPr>
          <w:lang w:val="en-US"/>
        </w:rPr>
        <w:t>Main Distribution Frame</w:t>
      </w:r>
      <w:r w:rsidR="000B1383">
        <w:t xml:space="preserve"> – glavni razdjelnik) </w:t>
      </w:r>
      <w:r w:rsidRPr="00853A33">
        <w:t>čvor</w:t>
      </w:r>
      <w:r w:rsidR="00035E34">
        <w:t>ov</w:t>
      </w:r>
      <w:r w:rsidRPr="00853A33">
        <w:t>a smješten</w:t>
      </w:r>
      <w:r w:rsidR="00EE4644">
        <w:t>ih</w:t>
      </w:r>
      <w:r w:rsidRPr="00853A33">
        <w:t xml:space="preserve"> pretežito u udaljenim i slabije naseljenim područjima, pri </w:t>
      </w:r>
      <w:r w:rsidRPr="00853A33">
        <w:lastRenderedPageBreak/>
        <w:t xml:space="preserve">čemu je riječ o </w:t>
      </w:r>
      <w:r>
        <w:t>područjima</w:t>
      </w:r>
      <w:r w:rsidRPr="00853A33">
        <w:t xml:space="preserve"> s ograničenim brojem maloprodajnih korisnika i bez prisutnosti veleprodajnih korisnika ili korištenja veleprodajnih usluga</w:t>
      </w:r>
      <w:r w:rsidR="0068782D" w:rsidRPr="0068782D">
        <w:t>.</w:t>
      </w:r>
      <w:r>
        <w:t xml:space="preserve"> </w:t>
      </w:r>
      <w:r w:rsidR="0068782D" w:rsidRPr="0068782D">
        <w:t xml:space="preserve">Pritom povijesni operator još nije objavio sveobuhvatan plan postupnog gašenja bakrene mreže na nacionalnoj razini, uključujući jasan raspored, geografski obuhvat, prijelazne rokove te uvjete migracije korisnika i dostupnost odgovarajućih zamjenskih veleprodajnih proizvoda, </w:t>
      </w:r>
      <w:r w:rsidR="0035093F">
        <w:t>u skladu s</w:t>
      </w:r>
      <w:r w:rsidR="0068782D" w:rsidRPr="0068782D">
        <w:t xml:space="preserve"> člank</w:t>
      </w:r>
      <w:r w:rsidR="0035093F">
        <w:t>om</w:t>
      </w:r>
      <w:bookmarkStart w:id="19" w:name="_GoBack"/>
      <w:bookmarkEnd w:id="19"/>
      <w:r w:rsidR="0068782D" w:rsidRPr="0068782D">
        <w:t xml:space="preserve"> 114. ZEK-a. Slijedom navedenog, iako tržišni trendovi jasno ukazuju na stvaranje preduvjeta za </w:t>
      </w:r>
      <w:r w:rsidR="00C51F0A">
        <w:t>postupno gašenje</w:t>
      </w:r>
      <w:r w:rsidR="0068782D" w:rsidRPr="0068782D">
        <w:t xml:space="preserve"> bakrene mreže, nije moguće pouzdano procijeniti vremenski okvir njezina potpunog gašenja</w:t>
      </w:r>
      <w:r w:rsidR="0068782D">
        <w:t>.</w:t>
      </w:r>
    </w:p>
    <w:p w14:paraId="70A1AE0F" w14:textId="3F8D21F7" w:rsidR="009866EF" w:rsidRDefault="00C601E4" w:rsidP="00C601E4">
      <w:pPr>
        <w:spacing w:before="120" w:after="60"/>
        <w:jc w:val="both"/>
        <w:rPr>
          <w:b/>
          <w:sz w:val="36"/>
        </w:rPr>
      </w:pPr>
      <w:r w:rsidRPr="00B96F8D">
        <w:t xml:space="preserve">Zaključno, tržište elektroničkih komunikacija u Republici Hrvatskoj nalazi se u fazi ubrzane tehnološke transformacije obilježene snažnim ulaganjima u mreže vrlo velikog kapaciteta, kontinuiranim rastom VHCN pokrivenosti te intenzivnom migracijom korisnika s bakrene </w:t>
      </w:r>
      <w:r w:rsidR="006D76A8">
        <w:t>mreže</w:t>
      </w:r>
      <w:r w:rsidRPr="00B96F8D">
        <w:t xml:space="preserve"> </w:t>
      </w:r>
      <w:r w:rsidR="0068782D">
        <w:t>n</w:t>
      </w:r>
      <w:r w:rsidR="0068782D" w:rsidRPr="0068782D">
        <w:t xml:space="preserve">a naprednije pristupne tehnologije, prvenstveno FTTH/B/DP. Iako navedeni trendovi upućuju na postupno stvaranje tehničkih i tržišnih preduvjeta za gašenje bakrene </w:t>
      </w:r>
      <w:r w:rsidR="0068782D">
        <w:t>mreže</w:t>
      </w:r>
      <w:r w:rsidR="0068782D" w:rsidRPr="0068782D">
        <w:t xml:space="preserve">, taj se proces u praksi još uvijek odvija ograničeno i bez jasno definiranog </w:t>
      </w:r>
      <w:r w:rsidR="009B6690">
        <w:t>sveobuhvatnog</w:t>
      </w:r>
      <w:r w:rsidR="0068782D" w:rsidRPr="0068782D">
        <w:t xml:space="preserve"> plana. Stoga će za budući razvoj tržišta biti ključno osigurati koordiniran, transparentan i usklađen pristup gašenju bakrene mreže, uz istodobno o</w:t>
      </w:r>
      <w:r w:rsidR="00EE4644">
        <w:t>siguravanje</w:t>
      </w:r>
      <w:r w:rsidR="0068782D" w:rsidRPr="0068782D">
        <w:t xml:space="preserve"> zaštite krajnjih korisnika i učinkovitog tržišnog natjecanja</w:t>
      </w:r>
      <w:r w:rsidRPr="00B96F8D">
        <w:t>.</w:t>
      </w:r>
      <w:r w:rsidR="009866EF">
        <w:br w:type="page"/>
      </w:r>
    </w:p>
    <w:p w14:paraId="6520233B" w14:textId="63350E88" w:rsidR="00983F7D" w:rsidRDefault="00B63099" w:rsidP="003B1D98">
      <w:pPr>
        <w:pStyle w:val="Nazivpoglavlja"/>
        <w:numPr>
          <w:ilvl w:val="0"/>
          <w:numId w:val="3"/>
        </w:numPr>
      </w:pPr>
      <w:bookmarkStart w:id="20" w:name="_Toc239944252"/>
      <w:r>
        <w:lastRenderedPageBreak/>
        <w:t>Stanje u Europi</w:t>
      </w:r>
      <w:bookmarkEnd w:id="20"/>
    </w:p>
    <w:p w14:paraId="4D20AAA3" w14:textId="020FC66D" w:rsidR="009A259A" w:rsidRDefault="009A259A" w:rsidP="00281569">
      <w:pPr>
        <w:spacing w:before="0" w:after="120"/>
        <w:jc w:val="both"/>
      </w:pPr>
      <w:r w:rsidRPr="00EA4C74">
        <w:t xml:space="preserve">Članak 81. Direktive (EU) </w:t>
      </w:r>
      <w:r w:rsidR="000A00D3" w:rsidRPr="000A00D3">
        <w:t>2018/1972</w:t>
      </w:r>
      <w:r w:rsidR="00B8622D">
        <w:rPr>
          <w:rStyle w:val="FootnoteReference"/>
        </w:rPr>
        <w:footnoteReference w:id="5"/>
      </w:r>
      <w:r w:rsidR="006A5B91">
        <w:t xml:space="preserve"> </w:t>
      </w:r>
      <w:r w:rsidR="00EA4C74" w:rsidRPr="00EA4C74">
        <w:t xml:space="preserve">uređuje regulatorni okvir za migraciju s naslijeđene infrastrukture, uključujući pravodobnu prethodnu obavijest o planiranom gašenju ili zamjeni dijelova mreže te transparentan raspored i uvjete prijelaza. U tom okviru relevantna je i dostupnost alternativnih pristupnih proizvoda najmanje usporedive kvalitete, kada je to potrebno radi zaštite tržišnog natjecanja i prava krajnjih korisnika. </w:t>
      </w:r>
    </w:p>
    <w:p w14:paraId="79D514A7" w14:textId="4B475FDE" w:rsidR="0045536D" w:rsidRDefault="00EA4C74" w:rsidP="00281569">
      <w:pPr>
        <w:spacing w:before="0" w:after="120"/>
        <w:jc w:val="both"/>
      </w:pPr>
      <w:r w:rsidRPr="00EA4C74">
        <w:t>Preporuka Komisije (EU) 2024/539</w:t>
      </w:r>
      <w:r w:rsidR="00CF1D44">
        <w:rPr>
          <w:rStyle w:val="FootnoteReference"/>
        </w:rPr>
        <w:footnoteReference w:id="6"/>
      </w:r>
      <w:r w:rsidR="00F8115F">
        <w:t xml:space="preserve"> </w:t>
      </w:r>
      <w:r w:rsidRPr="00EA4C74">
        <w:t>dodatno razrađuje regulatorni pristup migraciji s bakrene mreže, uključujući preporuku uspostave matrice zamjenjivosti i pristup određivanju primjerenog roka prethodne obavijesti.</w:t>
      </w:r>
      <w:r w:rsidR="009A259A">
        <w:t xml:space="preserve"> </w:t>
      </w:r>
      <w:r w:rsidRPr="00EA4C74">
        <w:t>Gigabitna preporuka preporučuje nacionalnim regulatornim tijelima uspostavu matrice zamjenjivosti radi procjene dostupnosti odgovarajućih zamjenskih pristupnih proizvoda</w:t>
      </w:r>
      <w:r>
        <w:t>.</w:t>
      </w:r>
      <w:r w:rsidR="007A4E6E">
        <w:t xml:space="preserve"> </w:t>
      </w:r>
      <w:r w:rsidR="0045536D" w:rsidRPr="0045536D">
        <w:t>Prema Gigabitnoj preporuci, primjeren rok za prethodnu obavijest u pravilu ne bi trebao biti dulji od dvije do tri godine, pri čemu u određenim okolnostima može biti i kraći.</w:t>
      </w:r>
    </w:p>
    <w:p w14:paraId="34D1C4ED" w14:textId="0C359E92" w:rsidR="000F3B71" w:rsidRDefault="0045536D" w:rsidP="00281569">
      <w:pPr>
        <w:spacing w:before="0" w:after="120"/>
        <w:jc w:val="both"/>
      </w:pPr>
      <w:r w:rsidRPr="0045536D">
        <w:t>Na razini Europske unije u tijeku je zakonodavni postupak u vezi s prijedlogom Digital Networks Acta</w:t>
      </w:r>
      <w:r w:rsidR="009D0BFF">
        <w:rPr>
          <w:rStyle w:val="FootnoteReference"/>
        </w:rPr>
        <w:footnoteReference w:id="7"/>
      </w:r>
      <w:r w:rsidRPr="0045536D">
        <w:t>, kojim Komisija, među ostalim, predlaže detaljniji okvir za postupni prijelaz s bakrenih na svjetlovodne mreže. Prijedlog predviđa aktivniju ulogu država članica i nacionalnih regulatornih tijela u planiranju i provedbi tog prijelaza, uključujući utvrđivanje područja gašenja bakrene mreže, procjenu ispunjenosti uvjeta za gašenje te odgovarajuće mjere zaštite krajnjih korisnika i tržišnog natjecanja. Prijedlog također predviđa postupni regulatorni okvir za gašenje bakrenih mreža, uz određene uvjete, prijelazna razdoblja i iznimke. Budući da je riječ o zakonodavnom prijedlogu koji je predmet pregovora, konačna rješenja, rokovi i institucionalne nadležnosti mogu se promijeniti tijekom zakonodavnog postupka</w:t>
      </w:r>
      <w:r>
        <w:t>.</w:t>
      </w:r>
    </w:p>
    <w:p w14:paraId="762BA994" w14:textId="11F134E9" w:rsidR="000F3B71" w:rsidRDefault="000F3B71" w:rsidP="000F3B71">
      <w:pPr>
        <w:pStyle w:val="Osnovnifont"/>
        <w:rPr>
          <w:i/>
        </w:rPr>
      </w:pPr>
      <w:r>
        <w:t xml:space="preserve">U nastavku je dan pregled stanja </w:t>
      </w:r>
      <w:r w:rsidR="00213E5C" w:rsidRPr="00213E5C">
        <w:t xml:space="preserve">i opis procesa </w:t>
      </w:r>
      <w:r>
        <w:t xml:space="preserve">gašenja bakrene mreže u europskim zemljama temeljem podataka iz </w:t>
      </w:r>
      <w:r w:rsidR="00B8622D">
        <w:t xml:space="preserve">Cullen International izvješća: </w:t>
      </w:r>
      <w:r w:rsidRPr="00B8622D">
        <w:rPr>
          <w:i/>
          <w:lang w:val="en-US"/>
        </w:rPr>
        <w:t>Decommissioning copper in the European Union, Norway, Switzerland and the United Kingdom</w:t>
      </w:r>
      <w:r w:rsidR="00B8622D">
        <w:rPr>
          <w:rStyle w:val="FootnoteReference"/>
        </w:rPr>
        <w:footnoteReference w:id="8"/>
      </w:r>
      <w:r w:rsidR="007C06CA">
        <w:t xml:space="preserve"> (siječanj 2026)</w:t>
      </w:r>
      <w:r w:rsidR="00901828">
        <w:rPr>
          <w:i/>
        </w:rPr>
        <w:t>.</w:t>
      </w:r>
    </w:p>
    <w:p w14:paraId="61FAD039" w14:textId="16CC5E19" w:rsidR="00FE26AE" w:rsidRDefault="007D16E2" w:rsidP="007D16E2">
      <w:pPr>
        <w:pStyle w:val="Caption"/>
        <w:jc w:val="center"/>
      </w:pPr>
      <w:bookmarkStart w:id="21" w:name="_Toc239944299"/>
      <w:r>
        <w:t xml:space="preserve">Tablica </w:t>
      </w:r>
      <w:fldSimple w:instr=" SEQ Table \* ARABIC ">
        <w:r w:rsidR="00160587">
          <w:rPr>
            <w:noProof/>
          </w:rPr>
          <w:t>1</w:t>
        </w:r>
      </w:fldSimple>
      <w:r w:rsidRPr="00186576">
        <w:t>. Podaci o postojanju planova za gašenje bakrene mreže</w:t>
      </w:r>
      <w:r w:rsidR="006224EB">
        <w:t xml:space="preserve"> – Izvor: Cullen</w:t>
      </w:r>
      <w:bookmarkEnd w:id="21"/>
    </w:p>
    <w:tbl>
      <w:tblPr>
        <w:tblW w:w="9498" w:type="dxa"/>
        <w:jc w:val="center"/>
        <w:tblLook w:val="04A0" w:firstRow="1" w:lastRow="0" w:firstColumn="1" w:lastColumn="0" w:noHBand="0" w:noVBand="1"/>
      </w:tblPr>
      <w:tblGrid>
        <w:gridCol w:w="2320"/>
        <w:gridCol w:w="1503"/>
        <w:gridCol w:w="5675"/>
      </w:tblGrid>
      <w:tr w:rsidR="00A573C5" w:rsidRPr="00A573C5" w14:paraId="202CFD35" w14:textId="77777777" w:rsidTr="007D16E2">
        <w:trPr>
          <w:trHeight w:val="315"/>
          <w:jc w:val="center"/>
        </w:trPr>
        <w:tc>
          <w:tcPr>
            <w:tcW w:w="2320" w:type="dxa"/>
            <w:tcBorders>
              <w:top w:val="single" w:sz="4" w:space="0" w:color="auto"/>
              <w:left w:val="single" w:sz="4" w:space="0" w:color="auto"/>
              <w:bottom w:val="single" w:sz="4" w:space="0" w:color="auto"/>
              <w:right w:val="single" w:sz="4" w:space="0" w:color="auto"/>
            </w:tcBorders>
            <w:shd w:val="clear" w:color="000000" w:fill="162F65"/>
            <w:vAlign w:val="bottom"/>
            <w:hideMark/>
          </w:tcPr>
          <w:p w14:paraId="0B09DF93" w14:textId="77777777" w:rsidR="00A573C5" w:rsidRPr="00A573C5" w:rsidRDefault="00A573C5" w:rsidP="00A573C5">
            <w:pPr>
              <w:spacing w:before="0" w:after="0"/>
              <w:jc w:val="center"/>
              <w:rPr>
                <w:color w:val="FFFFFF"/>
                <w:lang w:eastAsia="en-US"/>
              </w:rPr>
            </w:pPr>
            <w:r w:rsidRPr="00A573C5">
              <w:rPr>
                <w:color w:val="FFFFFF"/>
                <w:lang w:eastAsia="en-US"/>
              </w:rPr>
              <w:t> </w:t>
            </w:r>
          </w:p>
        </w:tc>
        <w:tc>
          <w:tcPr>
            <w:tcW w:w="1503" w:type="dxa"/>
            <w:tcBorders>
              <w:top w:val="single" w:sz="4" w:space="0" w:color="auto"/>
              <w:left w:val="nil"/>
              <w:bottom w:val="single" w:sz="4" w:space="0" w:color="auto"/>
              <w:right w:val="single" w:sz="4" w:space="0" w:color="auto"/>
            </w:tcBorders>
            <w:shd w:val="clear" w:color="000000" w:fill="162F65"/>
            <w:vAlign w:val="bottom"/>
            <w:hideMark/>
          </w:tcPr>
          <w:p w14:paraId="14D2BE1B" w14:textId="77777777" w:rsidR="00A573C5" w:rsidRPr="00A573C5" w:rsidRDefault="00A573C5" w:rsidP="00A573C5">
            <w:pPr>
              <w:spacing w:before="0" w:after="0"/>
              <w:jc w:val="center"/>
              <w:rPr>
                <w:color w:val="FFFFFF"/>
                <w:lang w:eastAsia="en-US"/>
              </w:rPr>
            </w:pPr>
            <w:r w:rsidRPr="00A573C5">
              <w:rPr>
                <w:color w:val="FFFFFF"/>
                <w:lang w:eastAsia="en-US"/>
              </w:rPr>
              <w:t>Broj zemalja</w:t>
            </w:r>
          </w:p>
        </w:tc>
        <w:tc>
          <w:tcPr>
            <w:tcW w:w="5675" w:type="dxa"/>
            <w:tcBorders>
              <w:top w:val="single" w:sz="4" w:space="0" w:color="auto"/>
              <w:left w:val="nil"/>
              <w:bottom w:val="single" w:sz="4" w:space="0" w:color="auto"/>
              <w:right w:val="single" w:sz="4" w:space="0" w:color="auto"/>
            </w:tcBorders>
            <w:shd w:val="clear" w:color="000000" w:fill="162F65"/>
            <w:vAlign w:val="bottom"/>
            <w:hideMark/>
          </w:tcPr>
          <w:p w14:paraId="73D3D205" w14:textId="77777777" w:rsidR="00A573C5" w:rsidRPr="00A573C5" w:rsidRDefault="00A573C5" w:rsidP="00A573C5">
            <w:pPr>
              <w:spacing w:before="0" w:after="0"/>
              <w:jc w:val="center"/>
              <w:rPr>
                <w:color w:val="FFFFFF"/>
                <w:lang w:eastAsia="en-US"/>
              </w:rPr>
            </w:pPr>
            <w:r w:rsidRPr="00A573C5">
              <w:rPr>
                <w:color w:val="FFFFFF"/>
                <w:lang w:eastAsia="en-US"/>
              </w:rPr>
              <w:t>Zemlje</w:t>
            </w:r>
          </w:p>
        </w:tc>
      </w:tr>
      <w:tr w:rsidR="00A573C5" w:rsidRPr="00A573C5" w14:paraId="51D7636C" w14:textId="77777777" w:rsidTr="007D16E2">
        <w:trPr>
          <w:trHeight w:val="945"/>
          <w:jc w:val="center"/>
        </w:trPr>
        <w:tc>
          <w:tcPr>
            <w:tcW w:w="2320" w:type="dxa"/>
            <w:tcBorders>
              <w:top w:val="nil"/>
              <w:left w:val="single" w:sz="4" w:space="0" w:color="auto"/>
              <w:bottom w:val="single" w:sz="4" w:space="0" w:color="auto"/>
              <w:right w:val="single" w:sz="4" w:space="0" w:color="auto"/>
            </w:tcBorders>
            <w:vAlign w:val="bottom"/>
            <w:hideMark/>
          </w:tcPr>
          <w:p w14:paraId="78FAA99A" w14:textId="77777777" w:rsidR="00A573C5" w:rsidRPr="00A573C5" w:rsidRDefault="00A573C5" w:rsidP="007D16E2">
            <w:pPr>
              <w:spacing w:before="0" w:after="0"/>
              <w:rPr>
                <w:color w:val="000000"/>
                <w:lang w:eastAsia="en-US"/>
              </w:rPr>
            </w:pPr>
            <w:r w:rsidRPr="00A573C5">
              <w:rPr>
                <w:color w:val="000000"/>
                <w:lang w:eastAsia="en-US"/>
              </w:rPr>
              <w:t>Postoje planovi za gašenje bakrene mreže</w:t>
            </w:r>
          </w:p>
        </w:tc>
        <w:tc>
          <w:tcPr>
            <w:tcW w:w="1503" w:type="dxa"/>
            <w:tcBorders>
              <w:top w:val="nil"/>
              <w:left w:val="nil"/>
              <w:bottom w:val="single" w:sz="4" w:space="0" w:color="auto"/>
              <w:right w:val="single" w:sz="4" w:space="0" w:color="auto"/>
            </w:tcBorders>
            <w:vAlign w:val="center"/>
            <w:hideMark/>
          </w:tcPr>
          <w:p w14:paraId="4349607F" w14:textId="77777777" w:rsidR="00A573C5" w:rsidRPr="00A573C5" w:rsidRDefault="00A573C5" w:rsidP="00A573C5">
            <w:pPr>
              <w:spacing w:before="0" w:after="0"/>
              <w:jc w:val="center"/>
              <w:rPr>
                <w:color w:val="000000"/>
                <w:lang w:eastAsia="en-US"/>
              </w:rPr>
            </w:pPr>
            <w:r w:rsidRPr="00A573C5">
              <w:rPr>
                <w:color w:val="000000"/>
                <w:lang w:eastAsia="en-US"/>
              </w:rPr>
              <w:t>14</w:t>
            </w:r>
          </w:p>
        </w:tc>
        <w:tc>
          <w:tcPr>
            <w:tcW w:w="5675" w:type="dxa"/>
            <w:tcBorders>
              <w:top w:val="nil"/>
              <w:left w:val="nil"/>
              <w:bottom w:val="single" w:sz="4" w:space="0" w:color="auto"/>
              <w:right w:val="single" w:sz="4" w:space="0" w:color="auto"/>
            </w:tcBorders>
            <w:vAlign w:val="bottom"/>
            <w:hideMark/>
          </w:tcPr>
          <w:p w14:paraId="7107C32C" w14:textId="245CC465" w:rsidR="00A573C5" w:rsidRPr="00A573C5" w:rsidRDefault="00A573C5" w:rsidP="00A573C5">
            <w:pPr>
              <w:spacing w:before="0" w:after="0"/>
              <w:rPr>
                <w:color w:val="000000"/>
                <w:lang w:eastAsia="en-US"/>
              </w:rPr>
            </w:pPr>
            <w:r w:rsidRPr="00A573C5">
              <w:rPr>
                <w:color w:val="000000"/>
                <w:lang w:eastAsia="en-US"/>
              </w:rPr>
              <w:t>Belgija, Cipar, Danska, Finska, Francuska, Grčka, Mađarska, Lu</w:t>
            </w:r>
            <w:r w:rsidR="0035093F">
              <w:rPr>
                <w:color w:val="000000"/>
                <w:lang w:eastAsia="en-US"/>
              </w:rPr>
              <w:t>ks</w:t>
            </w:r>
            <w:r w:rsidRPr="00A573C5">
              <w:rPr>
                <w:color w:val="000000"/>
                <w:lang w:eastAsia="en-US"/>
              </w:rPr>
              <w:t>emburg, Nizozemska, Norveška, Portugal, Španjolska, Švedska, Ujedinjeno Kraljevstvo</w:t>
            </w:r>
          </w:p>
        </w:tc>
      </w:tr>
      <w:tr w:rsidR="00A573C5" w:rsidRPr="00A573C5" w14:paraId="12E6F05D" w14:textId="77777777" w:rsidTr="007D16E2">
        <w:trPr>
          <w:trHeight w:val="945"/>
          <w:jc w:val="center"/>
        </w:trPr>
        <w:tc>
          <w:tcPr>
            <w:tcW w:w="2320" w:type="dxa"/>
            <w:tcBorders>
              <w:top w:val="nil"/>
              <w:left w:val="single" w:sz="4" w:space="0" w:color="auto"/>
              <w:bottom w:val="single" w:sz="4" w:space="0" w:color="auto"/>
              <w:right w:val="single" w:sz="4" w:space="0" w:color="auto"/>
            </w:tcBorders>
            <w:vAlign w:val="bottom"/>
            <w:hideMark/>
          </w:tcPr>
          <w:p w14:paraId="4F0E0A90" w14:textId="77777777" w:rsidR="00A573C5" w:rsidRPr="00A573C5" w:rsidRDefault="00A573C5" w:rsidP="007D16E2">
            <w:pPr>
              <w:spacing w:before="0" w:after="0"/>
              <w:rPr>
                <w:color w:val="000000"/>
                <w:lang w:eastAsia="en-US"/>
              </w:rPr>
            </w:pPr>
            <w:r w:rsidRPr="00A573C5">
              <w:rPr>
                <w:color w:val="000000"/>
                <w:lang w:eastAsia="en-US"/>
              </w:rPr>
              <w:t>Ne postoje planovi za gašenje bakrene mreže</w:t>
            </w:r>
          </w:p>
        </w:tc>
        <w:tc>
          <w:tcPr>
            <w:tcW w:w="1503" w:type="dxa"/>
            <w:tcBorders>
              <w:top w:val="nil"/>
              <w:left w:val="nil"/>
              <w:bottom w:val="single" w:sz="4" w:space="0" w:color="auto"/>
              <w:right w:val="single" w:sz="4" w:space="0" w:color="auto"/>
            </w:tcBorders>
            <w:vAlign w:val="center"/>
            <w:hideMark/>
          </w:tcPr>
          <w:p w14:paraId="68B81877" w14:textId="77777777" w:rsidR="00A573C5" w:rsidRPr="00A573C5" w:rsidRDefault="00A573C5" w:rsidP="00A573C5">
            <w:pPr>
              <w:spacing w:before="0" w:after="0"/>
              <w:jc w:val="center"/>
              <w:rPr>
                <w:color w:val="000000"/>
                <w:lang w:eastAsia="en-US"/>
              </w:rPr>
            </w:pPr>
            <w:r w:rsidRPr="00A573C5">
              <w:rPr>
                <w:color w:val="000000"/>
                <w:lang w:eastAsia="en-US"/>
              </w:rPr>
              <w:t>16</w:t>
            </w:r>
          </w:p>
        </w:tc>
        <w:tc>
          <w:tcPr>
            <w:tcW w:w="5675" w:type="dxa"/>
            <w:tcBorders>
              <w:top w:val="nil"/>
              <w:left w:val="nil"/>
              <w:bottom w:val="single" w:sz="4" w:space="0" w:color="auto"/>
              <w:right w:val="single" w:sz="4" w:space="0" w:color="auto"/>
            </w:tcBorders>
            <w:vAlign w:val="bottom"/>
            <w:hideMark/>
          </w:tcPr>
          <w:p w14:paraId="798F8B7B" w14:textId="77777777" w:rsidR="00A573C5" w:rsidRPr="00A573C5" w:rsidRDefault="00A573C5" w:rsidP="00A573C5">
            <w:pPr>
              <w:spacing w:before="0" w:after="0"/>
              <w:rPr>
                <w:color w:val="000000"/>
                <w:lang w:eastAsia="en-US"/>
              </w:rPr>
            </w:pPr>
            <w:r w:rsidRPr="00A573C5">
              <w:rPr>
                <w:color w:val="000000"/>
                <w:lang w:eastAsia="en-US"/>
              </w:rPr>
              <w:t>Austrija, Bugarska, Hrvatska, Češka, Estonija, Njemačka, Irska, Italija, Latvija, Litva, Malta, Poljska, Rumunjska, Slovačka, Slovenija, Švicarska</w:t>
            </w:r>
          </w:p>
        </w:tc>
      </w:tr>
    </w:tbl>
    <w:p w14:paraId="73C6ED9B" w14:textId="3F45C3D1" w:rsidR="00C63D3B" w:rsidRDefault="00277AFC" w:rsidP="00277AFC">
      <w:pPr>
        <w:pStyle w:val="Caption"/>
        <w:jc w:val="center"/>
      </w:pPr>
      <w:bookmarkStart w:id="22" w:name="_Toc239944300"/>
      <w:r>
        <w:lastRenderedPageBreak/>
        <w:t xml:space="preserve">Tablica </w:t>
      </w:r>
      <w:fldSimple w:instr=" SEQ Table \* ARABIC ">
        <w:r w:rsidR="00D0615B">
          <w:rPr>
            <w:noProof/>
          </w:rPr>
          <w:t>2</w:t>
        </w:r>
      </w:fldSimple>
      <w:r>
        <w:t xml:space="preserve">. </w:t>
      </w:r>
      <w:r w:rsidRPr="00A5641A">
        <w:t>Stanje postupka gašenja bakrene mreže po fazama</w:t>
      </w:r>
      <w:r w:rsidR="00C63D3B">
        <w:t xml:space="preserve"> </w:t>
      </w:r>
      <w:r w:rsidR="006224EB">
        <w:t>– Izvor: Cullen</w:t>
      </w:r>
      <w:bookmarkEnd w:id="22"/>
    </w:p>
    <w:tbl>
      <w:tblPr>
        <w:tblW w:w="9556" w:type="dxa"/>
        <w:tblLook w:val="04A0" w:firstRow="1" w:lastRow="0" w:firstColumn="1" w:lastColumn="0" w:noHBand="0" w:noVBand="1"/>
      </w:tblPr>
      <w:tblGrid>
        <w:gridCol w:w="679"/>
        <w:gridCol w:w="2718"/>
        <w:gridCol w:w="1560"/>
        <w:gridCol w:w="4599"/>
      </w:tblGrid>
      <w:tr w:rsidR="00350A51" w:rsidRPr="00F93D81" w14:paraId="52740152" w14:textId="77777777" w:rsidTr="00E80AB7">
        <w:trPr>
          <w:trHeight w:val="315"/>
        </w:trPr>
        <w:tc>
          <w:tcPr>
            <w:tcW w:w="679" w:type="dxa"/>
            <w:tcBorders>
              <w:top w:val="single" w:sz="4" w:space="0" w:color="auto"/>
              <w:left w:val="single" w:sz="4" w:space="0" w:color="auto"/>
              <w:bottom w:val="single" w:sz="4" w:space="0" w:color="auto"/>
              <w:right w:val="single" w:sz="4" w:space="0" w:color="auto"/>
            </w:tcBorders>
            <w:shd w:val="clear" w:color="000000" w:fill="162F65"/>
            <w:vAlign w:val="bottom"/>
            <w:hideMark/>
          </w:tcPr>
          <w:p w14:paraId="020C5EBF" w14:textId="77777777" w:rsidR="00350A51" w:rsidRPr="00F93D81" w:rsidRDefault="00350A51" w:rsidP="00350A51">
            <w:pPr>
              <w:spacing w:before="0" w:after="0"/>
              <w:jc w:val="center"/>
              <w:rPr>
                <w:color w:val="FFFFFF"/>
                <w:lang w:eastAsia="en-US"/>
              </w:rPr>
            </w:pPr>
            <w:r w:rsidRPr="00F93D81">
              <w:rPr>
                <w:color w:val="FFFFFF"/>
                <w:lang w:eastAsia="en-US"/>
              </w:rPr>
              <w:t>Faza</w:t>
            </w:r>
          </w:p>
        </w:tc>
        <w:tc>
          <w:tcPr>
            <w:tcW w:w="2718" w:type="dxa"/>
            <w:tcBorders>
              <w:top w:val="single" w:sz="4" w:space="0" w:color="auto"/>
              <w:left w:val="nil"/>
              <w:bottom w:val="single" w:sz="4" w:space="0" w:color="auto"/>
              <w:right w:val="single" w:sz="4" w:space="0" w:color="auto"/>
            </w:tcBorders>
            <w:shd w:val="clear" w:color="000000" w:fill="162F65"/>
            <w:vAlign w:val="bottom"/>
            <w:hideMark/>
          </w:tcPr>
          <w:p w14:paraId="2F9B8800" w14:textId="77777777" w:rsidR="00350A51" w:rsidRPr="00F93D81" w:rsidRDefault="00350A51" w:rsidP="00350A51">
            <w:pPr>
              <w:spacing w:before="0" w:after="0"/>
              <w:jc w:val="center"/>
              <w:rPr>
                <w:color w:val="FFFFFF"/>
                <w:lang w:eastAsia="en-US"/>
              </w:rPr>
            </w:pPr>
            <w:r w:rsidRPr="00F93D81">
              <w:rPr>
                <w:color w:val="FFFFFF"/>
                <w:lang w:eastAsia="en-US"/>
              </w:rPr>
              <w:t>Opis</w:t>
            </w:r>
          </w:p>
        </w:tc>
        <w:tc>
          <w:tcPr>
            <w:tcW w:w="1560" w:type="dxa"/>
            <w:tcBorders>
              <w:top w:val="single" w:sz="4" w:space="0" w:color="auto"/>
              <w:left w:val="nil"/>
              <w:bottom w:val="single" w:sz="4" w:space="0" w:color="auto"/>
              <w:right w:val="single" w:sz="4" w:space="0" w:color="auto"/>
            </w:tcBorders>
            <w:shd w:val="clear" w:color="000000" w:fill="162F65"/>
            <w:vAlign w:val="bottom"/>
            <w:hideMark/>
          </w:tcPr>
          <w:p w14:paraId="7CBD2DD5" w14:textId="77777777" w:rsidR="00350A51" w:rsidRPr="00F93D81" w:rsidRDefault="00350A51" w:rsidP="00350A51">
            <w:pPr>
              <w:spacing w:before="0" w:after="0"/>
              <w:jc w:val="center"/>
              <w:rPr>
                <w:color w:val="FFFFFF"/>
                <w:lang w:eastAsia="en-US"/>
              </w:rPr>
            </w:pPr>
            <w:r w:rsidRPr="00F93D81">
              <w:rPr>
                <w:color w:val="FFFFFF"/>
                <w:lang w:eastAsia="en-US"/>
              </w:rPr>
              <w:t>Broj zemalja</w:t>
            </w:r>
          </w:p>
        </w:tc>
        <w:tc>
          <w:tcPr>
            <w:tcW w:w="4599" w:type="dxa"/>
            <w:tcBorders>
              <w:top w:val="single" w:sz="4" w:space="0" w:color="auto"/>
              <w:left w:val="nil"/>
              <w:bottom w:val="single" w:sz="4" w:space="0" w:color="auto"/>
              <w:right w:val="single" w:sz="4" w:space="0" w:color="auto"/>
            </w:tcBorders>
            <w:shd w:val="clear" w:color="000000" w:fill="162F65"/>
            <w:vAlign w:val="bottom"/>
            <w:hideMark/>
          </w:tcPr>
          <w:p w14:paraId="00944051" w14:textId="77777777" w:rsidR="00350A51" w:rsidRPr="00F93D81" w:rsidRDefault="00350A51" w:rsidP="00350A51">
            <w:pPr>
              <w:spacing w:before="0" w:after="0"/>
              <w:jc w:val="center"/>
              <w:rPr>
                <w:color w:val="FFFFFF"/>
                <w:lang w:eastAsia="en-US"/>
              </w:rPr>
            </w:pPr>
            <w:r w:rsidRPr="00F93D81">
              <w:rPr>
                <w:color w:val="FFFFFF"/>
                <w:lang w:eastAsia="en-US"/>
              </w:rPr>
              <w:t>Zemlje</w:t>
            </w:r>
          </w:p>
        </w:tc>
      </w:tr>
      <w:tr w:rsidR="00350A51" w:rsidRPr="00F93D81" w14:paraId="313976D4" w14:textId="77777777" w:rsidTr="00E80AB7">
        <w:trPr>
          <w:trHeight w:val="800"/>
        </w:trPr>
        <w:tc>
          <w:tcPr>
            <w:tcW w:w="679" w:type="dxa"/>
            <w:tcBorders>
              <w:top w:val="nil"/>
              <w:left w:val="single" w:sz="4" w:space="0" w:color="auto"/>
              <w:bottom w:val="single" w:sz="4" w:space="0" w:color="auto"/>
              <w:right w:val="single" w:sz="4" w:space="0" w:color="auto"/>
            </w:tcBorders>
            <w:vAlign w:val="center"/>
            <w:hideMark/>
          </w:tcPr>
          <w:p w14:paraId="476392D6" w14:textId="2DC5C9DC" w:rsidR="00350A51" w:rsidRPr="00F93D81" w:rsidRDefault="00350A51" w:rsidP="00350A51">
            <w:pPr>
              <w:spacing w:before="0" w:after="0"/>
              <w:rPr>
                <w:color w:val="000000"/>
                <w:lang w:eastAsia="en-US"/>
              </w:rPr>
            </w:pPr>
            <w:r w:rsidRPr="00F93D81">
              <w:rPr>
                <w:color w:val="000000"/>
                <w:lang w:eastAsia="en-US"/>
              </w:rPr>
              <w:t>0</w:t>
            </w:r>
          </w:p>
        </w:tc>
        <w:tc>
          <w:tcPr>
            <w:tcW w:w="2718" w:type="dxa"/>
            <w:tcBorders>
              <w:top w:val="nil"/>
              <w:left w:val="nil"/>
              <w:bottom w:val="single" w:sz="4" w:space="0" w:color="auto"/>
              <w:right w:val="single" w:sz="4" w:space="0" w:color="auto"/>
            </w:tcBorders>
            <w:vAlign w:val="center"/>
            <w:hideMark/>
          </w:tcPr>
          <w:p w14:paraId="5204FE32"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Plan gašenja mreže nije javno objavljen</w:t>
            </w:r>
          </w:p>
        </w:tc>
        <w:tc>
          <w:tcPr>
            <w:tcW w:w="1560" w:type="dxa"/>
            <w:tcBorders>
              <w:top w:val="nil"/>
              <w:left w:val="nil"/>
              <w:bottom w:val="single" w:sz="4" w:space="0" w:color="auto"/>
              <w:right w:val="single" w:sz="4" w:space="0" w:color="auto"/>
            </w:tcBorders>
            <w:vAlign w:val="center"/>
            <w:hideMark/>
          </w:tcPr>
          <w:p w14:paraId="2498B7EE" w14:textId="77777777" w:rsidR="00350A51" w:rsidRPr="00F93D81" w:rsidRDefault="00350A51" w:rsidP="00350A51">
            <w:pPr>
              <w:spacing w:before="0" w:after="0"/>
              <w:jc w:val="center"/>
              <w:rPr>
                <w:color w:val="000000"/>
                <w:lang w:eastAsia="en-US"/>
              </w:rPr>
            </w:pPr>
            <w:r w:rsidRPr="00F93D81">
              <w:rPr>
                <w:color w:val="000000"/>
                <w:lang w:eastAsia="en-US"/>
              </w:rPr>
              <w:t>14</w:t>
            </w:r>
          </w:p>
        </w:tc>
        <w:tc>
          <w:tcPr>
            <w:tcW w:w="4599" w:type="dxa"/>
            <w:tcBorders>
              <w:top w:val="nil"/>
              <w:left w:val="nil"/>
              <w:bottom w:val="single" w:sz="4" w:space="0" w:color="auto"/>
              <w:right w:val="single" w:sz="4" w:space="0" w:color="auto"/>
            </w:tcBorders>
            <w:vAlign w:val="center"/>
            <w:hideMark/>
          </w:tcPr>
          <w:p w14:paraId="11D4F14B" w14:textId="77777777" w:rsidR="00350A51" w:rsidRPr="00F93D81" w:rsidRDefault="00350A51" w:rsidP="00350A51">
            <w:pPr>
              <w:spacing w:before="0" w:after="0"/>
              <w:rPr>
                <w:color w:val="000000"/>
                <w:lang w:eastAsia="en-US"/>
              </w:rPr>
            </w:pPr>
            <w:r w:rsidRPr="00F93D81">
              <w:rPr>
                <w:color w:val="000000"/>
                <w:lang w:eastAsia="en-US"/>
              </w:rPr>
              <w:t>Austrija, Bugarska, Hrvatska, Estonija, Njemačka, Irska, Italija, Latvija, Litva, Malta, Poljska, Slovačka, Slovenija, Švicarska</w:t>
            </w:r>
          </w:p>
        </w:tc>
      </w:tr>
      <w:tr w:rsidR="00350A51" w:rsidRPr="00F93D81" w14:paraId="0FE729E3" w14:textId="77777777" w:rsidTr="00E80AB7">
        <w:trPr>
          <w:trHeight w:val="660"/>
        </w:trPr>
        <w:tc>
          <w:tcPr>
            <w:tcW w:w="679" w:type="dxa"/>
            <w:tcBorders>
              <w:top w:val="nil"/>
              <w:left w:val="single" w:sz="4" w:space="0" w:color="auto"/>
              <w:bottom w:val="single" w:sz="4" w:space="0" w:color="auto"/>
              <w:right w:val="single" w:sz="4" w:space="0" w:color="auto"/>
            </w:tcBorders>
            <w:vAlign w:val="center"/>
            <w:hideMark/>
          </w:tcPr>
          <w:p w14:paraId="04907FC8" w14:textId="293476F5" w:rsidR="00350A51" w:rsidRPr="00F93D81" w:rsidRDefault="00350A51" w:rsidP="00350A51">
            <w:pPr>
              <w:spacing w:before="0" w:after="0"/>
              <w:rPr>
                <w:color w:val="000000"/>
                <w:lang w:eastAsia="en-US"/>
              </w:rPr>
            </w:pPr>
            <w:r w:rsidRPr="00F93D81">
              <w:rPr>
                <w:color w:val="000000"/>
                <w:lang w:eastAsia="en-US"/>
              </w:rPr>
              <w:t>1</w:t>
            </w:r>
          </w:p>
        </w:tc>
        <w:tc>
          <w:tcPr>
            <w:tcW w:w="2718" w:type="dxa"/>
            <w:tcBorders>
              <w:top w:val="nil"/>
              <w:left w:val="nil"/>
              <w:bottom w:val="single" w:sz="4" w:space="0" w:color="auto"/>
              <w:right w:val="single" w:sz="4" w:space="0" w:color="auto"/>
            </w:tcBorders>
            <w:vAlign w:val="center"/>
            <w:hideMark/>
          </w:tcPr>
          <w:p w14:paraId="3682CA30"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Plan gašenja mreže je objavljen</w:t>
            </w:r>
          </w:p>
        </w:tc>
        <w:tc>
          <w:tcPr>
            <w:tcW w:w="1560" w:type="dxa"/>
            <w:tcBorders>
              <w:top w:val="nil"/>
              <w:left w:val="nil"/>
              <w:bottom w:val="single" w:sz="4" w:space="0" w:color="auto"/>
              <w:right w:val="single" w:sz="4" w:space="0" w:color="auto"/>
            </w:tcBorders>
            <w:vAlign w:val="center"/>
            <w:hideMark/>
          </w:tcPr>
          <w:p w14:paraId="5293658F" w14:textId="77777777" w:rsidR="00350A51" w:rsidRPr="00F93D81" w:rsidRDefault="00350A51" w:rsidP="00350A51">
            <w:pPr>
              <w:spacing w:before="0" w:after="0"/>
              <w:jc w:val="center"/>
              <w:rPr>
                <w:color w:val="000000"/>
                <w:lang w:eastAsia="en-US"/>
              </w:rPr>
            </w:pPr>
            <w:r w:rsidRPr="00F93D81">
              <w:rPr>
                <w:color w:val="000000"/>
                <w:lang w:eastAsia="en-US"/>
              </w:rPr>
              <w:t>0</w:t>
            </w:r>
          </w:p>
        </w:tc>
        <w:tc>
          <w:tcPr>
            <w:tcW w:w="4599" w:type="dxa"/>
            <w:tcBorders>
              <w:top w:val="nil"/>
              <w:left w:val="nil"/>
              <w:bottom w:val="single" w:sz="4" w:space="0" w:color="auto"/>
              <w:right w:val="single" w:sz="4" w:space="0" w:color="auto"/>
            </w:tcBorders>
            <w:vAlign w:val="center"/>
            <w:hideMark/>
          </w:tcPr>
          <w:p w14:paraId="7BABFBC8" w14:textId="77777777" w:rsidR="00350A51" w:rsidRPr="00F93D81" w:rsidRDefault="00350A51" w:rsidP="00350A51">
            <w:pPr>
              <w:spacing w:before="0" w:after="0"/>
              <w:rPr>
                <w:color w:val="000000"/>
                <w:lang w:eastAsia="en-US"/>
              </w:rPr>
            </w:pPr>
            <w:r w:rsidRPr="00F93D81">
              <w:rPr>
                <w:color w:val="000000"/>
                <w:lang w:eastAsia="en-US"/>
              </w:rPr>
              <w:t>-</w:t>
            </w:r>
          </w:p>
        </w:tc>
      </w:tr>
      <w:tr w:rsidR="00350A51" w:rsidRPr="00F93D81" w14:paraId="7B3428E3" w14:textId="77777777" w:rsidTr="00E80AB7">
        <w:trPr>
          <w:trHeight w:val="922"/>
        </w:trPr>
        <w:tc>
          <w:tcPr>
            <w:tcW w:w="679" w:type="dxa"/>
            <w:tcBorders>
              <w:top w:val="nil"/>
              <w:left w:val="single" w:sz="4" w:space="0" w:color="auto"/>
              <w:bottom w:val="single" w:sz="4" w:space="0" w:color="auto"/>
              <w:right w:val="single" w:sz="4" w:space="0" w:color="auto"/>
            </w:tcBorders>
            <w:vAlign w:val="center"/>
            <w:hideMark/>
          </w:tcPr>
          <w:p w14:paraId="323E9141" w14:textId="2EAA0FD9" w:rsidR="00350A51" w:rsidRPr="00F93D81" w:rsidRDefault="00350A51" w:rsidP="00350A51">
            <w:pPr>
              <w:spacing w:before="0" w:after="0"/>
              <w:rPr>
                <w:color w:val="000000"/>
                <w:lang w:eastAsia="en-US"/>
              </w:rPr>
            </w:pPr>
            <w:r w:rsidRPr="00F93D81">
              <w:rPr>
                <w:color w:val="000000"/>
                <w:lang w:eastAsia="en-US"/>
              </w:rPr>
              <w:t>2</w:t>
            </w:r>
          </w:p>
        </w:tc>
        <w:tc>
          <w:tcPr>
            <w:tcW w:w="2718" w:type="dxa"/>
            <w:tcBorders>
              <w:top w:val="nil"/>
              <w:left w:val="nil"/>
              <w:bottom w:val="single" w:sz="4" w:space="0" w:color="auto"/>
              <w:right w:val="single" w:sz="4" w:space="0" w:color="auto"/>
            </w:tcBorders>
            <w:vAlign w:val="center"/>
            <w:hideMark/>
          </w:tcPr>
          <w:p w14:paraId="25572F66"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Započela je faza prestanka prodaje (pilot projekti isključeni)</w:t>
            </w:r>
          </w:p>
        </w:tc>
        <w:tc>
          <w:tcPr>
            <w:tcW w:w="1560" w:type="dxa"/>
            <w:tcBorders>
              <w:top w:val="nil"/>
              <w:left w:val="nil"/>
              <w:bottom w:val="single" w:sz="4" w:space="0" w:color="auto"/>
              <w:right w:val="single" w:sz="4" w:space="0" w:color="auto"/>
            </w:tcBorders>
            <w:vAlign w:val="center"/>
            <w:hideMark/>
          </w:tcPr>
          <w:p w14:paraId="1CC22C28" w14:textId="77777777" w:rsidR="00350A51" w:rsidRPr="00F93D81" w:rsidRDefault="00350A51" w:rsidP="00350A51">
            <w:pPr>
              <w:spacing w:before="0" w:after="0"/>
              <w:jc w:val="center"/>
              <w:rPr>
                <w:color w:val="000000"/>
                <w:lang w:eastAsia="en-US"/>
              </w:rPr>
            </w:pPr>
            <w:r w:rsidRPr="00F93D81">
              <w:rPr>
                <w:color w:val="000000"/>
                <w:lang w:eastAsia="en-US"/>
              </w:rPr>
              <w:t>2</w:t>
            </w:r>
          </w:p>
        </w:tc>
        <w:tc>
          <w:tcPr>
            <w:tcW w:w="4599" w:type="dxa"/>
            <w:tcBorders>
              <w:top w:val="nil"/>
              <w:left w:val="nil"/>
              <w:bottom w:val="single" w:sz="4" w:space="0" w:color="auto"/>
              <w:right w:val="single" w:sz="4" w:space="0" w:color="auto"/>
            </w:tcBorders>
            <w:noWrap/>
            <w:vAlign w:val="center"/>
            <w:hideMark/>
          </w:tcPr>
          <w:p w14:paraId="6024B4AD"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Ujedinjeno Kraljevstvo, Grčka</w:t>
            </w:r>
          </w:p>
        </w:tc>
      </w:tr>
      <w:tr w:rsidR="00350A51" w:rsidRPr="00F93D81" w14:paraId="2CA31498" w14:textId="77777777" w:rsidTr="00E80AB7">
        <w:trPr>
          <w:trHeight w:val="990"/>
        </w:trPr>
        <w:tc>
          <w:tcPr>
            <w:tcW w:w="679" w:type="dxa"/>
            <w:tcBorders>
              <w:top w:val="nil"/>
              <w:left w:val="single" w:sz="4" w:space="0" w:color="auto"/>
              <w:bottom w:val="single" w:sz="4" w:space="0" w:color="auto"/>
              <w:right w:val="single" w:sz="4" w:space="0" w:color="auto"/>
            </w:tcBorders>
            <w:vAlign w:val="center"/>
            <w:hideMark/>
          </w:tcPr>
          <w:p w14:paraId="1B1176B7" w14:textId="4D8F5ED9" w:rsidR="00350A51" w:rsidRPr="00F93D81" w:rsidRDefault="00350A51" w:rsidP="00350A51">
            <w:pPr>
              <w:spacing w:before="0" w:after="0"/>
              <w:rPr>
                <w:color w:val="000000"/>
                <w:lang w:eastAsia="en-US"/>
              </w:rPr>
            </w:pPr>
            <w:r w:rsidRPr="00F93D81">
              <w:rPr>
                <w:color w:val="000000"/>
                <w:lang w:eastAsia="en-US"/>
              </w:rPr>
              <w:t>3</w:t>
            </w:r>
          </w:p>
        </w:tc>
        <w:tc>
          <w:tcPr>
            <w:tcW w:w="2718" w:type="dxa"/>
            <w:tcBorders>
              <w:top w:val="nil"/>
              <w:left w:val="nil"/>
              <w:bottom w:val="single" w:sz="4" w:space="0" w:color="auto"/>
              <w:right w:val="single" w:sz="4" w:space="0" w:color="auto"/>
            </w:tcBorders>
            <w:vAlign w:val="center"/>
            <w:hideMark/>
          </w:tcPr>
          <w:p w14:paraId="080413D7" w14:textId="15E70AFF" w:rsidR="00350A51" w:rsidRPr="00F93D81" w:rsidRDefault="0035093F" w:rsidP="00350A51">
            <w:pPr>
              <w:spacing w:before="0" w:after="0" w:line="300" w:lineRule="atLeast"/>
              <w:rPr>
                <w:rFonts w:cs="Segoe UI"/>
                <w:color w:val="000000"/>
                <w:lang w:eastAsia="en-US"/>
              </w:rPr>
            </w:pPr>
            <w:r>
              <w:rPr>
                <w:rFonts w:cs="Segoe UI"/>
                <w:color w:val="000000"/>
                <w:lang w:eastAsia="en-US"/>
              </w:rPr>
              <w:t>Započelo je gašenje bakrene mreže</w:t>
            </w:r>
          </w:p>
        </w:tc>
        <w:tc>
          <w:tcPr>
            <w:tcW w:w="1560" w:type="dxa"/>
            <w:tcBorders>
              <w:top w:val="nil"/>
              <w:left w:val="nil"/>
              <w:bottom w:val="single" w:sz="4" w:space="0" w:color="auto"/>
              <w:right w:val="single" w:sz="4" w:space="0" w:color="auto"/>
            </w:tcBorders>
            <w:vAlign w:val="center"/>
            <w:hideMark/>
          </w:tcPr>
          <w:p w14:paraId="1F79CBEA" w14:textId="77777777" w:rsidR="00350A51" w:rsidRPr="00F93D81" w:rsidRDefault="00350A51" w:rsidP="00350A51">
            <w:pPr>
              <w:spacing w:before="0" w:after="0"/>
              <w:jc w:val="center"/>
              <w:rPr>
                <w:color w:val="000000"/>
                <w:lang w:eastAsia="en-US"/>
              </w:rPr>
            </w:pPr>
            <w:r w:rsidRPr="00F93D81">
              <w:rPr>
                <w:color w:val="000000"/>
                <w:lang w:eastAsia="en-US"/>
              </w:rPr>
              <w:t>12</w:t>
            </w:r>
          </w:p>
        </w:tc>
        <w:tc>
          <w:tcPr>
            <w:tcW w:w="4599" w:type="dxa"/>
            <w:tcBorders>
              <w:top w:val="nil"/>
              <w:left w:val="nil"/>
              <w:bottom w:val="single" w:sz="4" w:space="0" w:color="auto"/>
              <w:right w:val="single" w:sz="4" w:space="0" w:color="auto"/>
            </w:tcBorders>
            <w:vAlign w:val="center"/>
            <w:hideMark/>
          </w:tcPr>
          <w:p w14:paraId="1E909B50"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Belgija, Cipar, Češka, Danska, Finska, Francuska, Mađarska, Luksemburg, Nizozemska, Portugal, Rumunjska, Švedska</w:t>
            </w:r>
          </w:p>
        </w:tc>
      </w:tr>
      <w:tr w:rsidR="00350A51" w:rsidRPr="00F93D81" w14:paraId="15F7507A" w14:textId="77777777" w:rsidTr="00E80AB7">
        <w:trPr>
          <w:trHeight w:val="660"/>
        </w:trPr>
        <w:tc>
          <w:tcPr>
            <w:tcW w:w="679" w:type="dxa"/>
            <w:tcBorders>
              <w:top w:val="nil"/>
              <w:left w:val="single" w:sz="4" w:space="0" w:color="auto"/>
              <w:bottom w:val="single" w:sz="4" w:space="0" w:color="auto"/>
              <w:right w:val="single" w:sz="4" w:space="0" w:color="auto"/>
            </w:tcBorders>
            <w:vAlign w:val="center"/>
            <w:hideMark/>
          </w:tcPr>
          <w:p w14:paraId="0759DE78" w14:textId="1DEB9EAB" w:rsidR="00350A51" w:rsidRPr="00F93D81" w:rsidRDefault="00350A51" w:rsidP="00350A51">
            <w:pPr>
              <w:spacing w:before="0" w:after="0"/>
              <w:rPr>
                <w:color w:val="000000"/>
                <w:lang w:eastAsia="en-US"/>
              </w:rPr>
            </w:pPr>
            <w:r w:rsidRPr="00F93D81">
              <w:rPr>
                <w:color w:val="000000"/>
                <w:lang w:eastAsia="en-US"/>
              </w:rPr>
              <w:t>4</w:t>
            </w:r>
          </w:p>
        </w:tc>
        <w:tc>
          <w:tcPr>
            <w:tcW w:w="2718" w:type="dxa"/>
            <w:tcBorders>
              <w:top w:val="nil"/>
              <w:left w:val="nil"/>
              <w:bottom w:val="single" w:sz="4" w:space="0" w:color="auto"/>
              <w:right w:val="single" w:sz="4" w:space="0" w:color="auto"/>
            </w:tcBorders>
            <w:vAlign w:val="center"/>
            <w:hideMark/>
          </w:tcPr>
          <w:p w14:paraId="1DB84D81"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Završetak gašenja bakrene mreže</w:t>
            </w:r>
          </w:p>
        </w:tc>
        <w:tc>
          <w:tcPr>
            <w:tcW w:w="1560" w:type="dxa"/>
            <w:tcBorders>
              <w:top w:val="nil"/>
              <w:left w:val="nil"/>
              <w:bottom w:val="single" w:sz="4" w:space="0" w:color="auto"/>
              <w:right w:val="single" w:sz="4" w:space="0" w:color="auto"/>
            </w:tcBorders>
            <w:vAlign w:val="center"/>
            <w:hideMark/>
          </w:tcPr>
          <w:p w14:paraId="42821246" w14:textId="77777777" w:rsidR="00350A51" w:rsidRPr="00F93D81" w:rsidRDefault="00350A51" w:rsidP="00350A51">
            <w:pPr>
              <w:spacing w:before="0" w:after="0"/>
              <w:jc w:val="center"/>
              <w:rPr>
                <w:color w:val="000000"/>
                <w:lang w:eastAsia="en-US"/>
              </w:rPr>
            </w:pPr>
            <w:r w:rsidRPr="00F93D81">
              <w:rPr>
                <w:color w:val="000000"/>
                <w:lang w:eastAsia="en-US"/>
              </w:rPr>
              <w:t>2</w:t>
            </w:r>
          </w:p>
        </w:tc>
        <w:tc>
          <w:tcPr>
            <w:tcW w:w="4599" w:type="dxa"/>
            <w:tcBorders>
              <w:top w:val="nil"/>
              <w:left w:val="nil"/>
              <w:bottom w:val="single" w:sz="4" w:space="0" w:color="auto"/>
              <w:right w:val="single" w:sz="4" w:space="0" w:color="auto"/>
            </w:tcBorders>
            <w:vAlign w:val="center"/>
            <w:hideMark/>
          </w:tcPr>
          <w:p w14:paraId="1303DB0D" w14:textId="77777777" w:rsidR="00350A51" w:rsidRPr="00F93D81" w:rsidRDefault="00350A51" w:rsidP="00350A51">
            <w:pPr>
              <w:spacing w:before="0" w:after="0" w:line="300" w:lineRule="atLeast"/>
              <w:rPr>
                <w:rFonts w:cs="Segoe UI"/>
                <w:color w:val="000000"/>
                <w:lang w:eastAsia="en-US"/>
              </w:rPr>
            </w:pPr>
            <w:r w:rsidRPr="00F93D81">
              <w:rPr>
                <w:rFonts w:cs="Segoe UI"/>
                <w:color w:val="000000"/>
                <w:lang w:eastAsia="en-US"/>
              </w:rPr>
              <w:t>Norveška, Španjolska</w:t>
            </w:r>
          </w:p>
        </w:tc>
      </w:tr>
    </w:tbl>
    <w:p w14:paraId="6AAA9EF0" w14:textId="5C923EE5" w:rsidR="00D0615B" w:rsidRPr="00D473D8" w:rsidRDefault="00D0615B" w:rsidP="00D0615B">
      <w:pPr>
        <w:pStyle w:val="Caption"/>
        <w:tabs>
          <w:tab w:val="center" w:pos="4819"/>
          <w:tab w:val="right" w:pos="9638"/>
        </w:tabs>
        <w:jc w:val="center"/>
      </w:pPr>
      <w:bookmarkStart w:id="23" w:name="_Toc239944301"/>
      <w:r>
        <w:t xml:space="preserve">Tablica </w:t>
      </w:r>
      <w:r>
        <w:rPr>
          <w:iCs w:val="0"/>
        </w:rPr>
        <w:fldChar w:fldCharType="begin"/>
      </w:r>
      <w:r>
        <w:rPr>
          <w:iCs w:val="0"/>
        </w:rPr>
        <w:instrText xml:space="preserve"> SEQ Table \* ARABIC </w:instrText>
      </w:r>
      <w:r>
        <w:rPr>
          <w:iCs w:val="0"/>
        </w:rPr>
        <w:fldChar w:fldCharType="separate"/>
      </w:r>
      <w:r>
        <w:rPr>
          <w:iCs w:val="0"/>
          <w:noProof/>
        </w:rPr>
        <w:t>3</w:t>
      </w:r>
      <w:r>
        <w:fldChar w:fldCharType="end"/>
      </w:r>
      <w:r w:rsidRPr="00DD217B">
        <w:t>.</w:t>
      </w:r>
      <w:r>
        <w:t xml:space="preserve"> </w:t>
      </w:r>
      <w:r w:rsidRPr="00DD217B">
        <w:t>Odobravanje planova od strane regulatora</w:t>
      </w:r>
      <w:r w:rsidR="006224EB">
        <w:t xml:space="preserve"> – Izvor: Cullen</w:t>
      </w:r>
      <w:bookmarkEnd w:id="23"/>
    </w:p>
    <w:tbl>
      <w:tblPr>
        <w:tblW w:w="9561" w:type="dxa"/>
        <w:tblInd w:w="-5" w:type="dxa"/>
        <w:tblLook w:val="04A0" w:firstRow="1" w:lastRow="0" w:firstColumn="1" w:lastColumn="0" w:noHBand="0" w:noVBand="1"/>
      </w:tblPr>
      <w:tblGrid>
        <w:gridCol w:w="2977"/>
        <w:gridCol w:w="1701"/>
        <w:gridCol w:w="4883"/>
      </w:tblGrid>
      <w:tr w:rsidR="00D0615B" w:rsidRPr="00886FCF" w14:paraId="0A73DD73" w14:textId="77777777" w:rsidTr="00E80AB7">
        <w:trPr>
          <w:trHeight w:val="315"/>
        </w:trPr>
        <w:tc>
          <w:tcPr>
            <w:tcW w:w="2977" w:type="dxa"/>
            <w:tcBorders>
              <w:top w:val="single" w:sz="4" w:space="0" w:color="auto"/>
              <w:left w:val="single" w:sz="4" w:space="0" w:color="auto"/>
              <w:bottom w:val="single" w:sz="4" w:space="0" w:color="auto"/>
              <w:right w:val="single" w:sz="4" w:space="0" w:color="auto"/>
            </w:tcBorders>
            <w:shd w:val="clear" w:color="000000" w:fill="162F65"/>
            <w:vAlign w:val="bottom"/>
            <w:hideMark/>
          </w:tcPr>
          <w:p w14:paraId="2EA03F6B" w14:textId="77777777" w:rsidR="00D0615B" w:rsidRPr="00886FCF" w:rsidRDefault="00D0615B" w:rsidP="005C4ECA">
            <w:pPr>
              <w:spacing w:before="0" w:after="0"/>
              <w:jc w:val="center"/>
              <w:rPr>
                <w:color w:val="FFFFFF"/>
                <w:lang w:eastAsia="en-US"/>
              </w:rPr>
            </w:pPr>
            <w:r w:rsidRPr="00886FCF">
              <w:rPr>
                <w:color w:val="FFFFFF"/>
                <w:lang w:eastAsia="en-US"/>
              </w:rPr>
              <w:t> </w:t>
            </w:r>
          </w:p>
        </w:tc>
        <w:tc>
          <w:tcPr>
            <w:tcW w:w="1701" w:type="dxa"/>
            <w:tcBorders>
              <w:top w:val="single" w:sz="4" w:space="0" w:color="auto"/>
              <w:left w:val="nil"/>
              <w:bottom w:val="single" w:sz="4" w:space="0" w:color="auto"/>
              <w:right w:val="single" w:sz="4" w:space="0" w:color="auto"/>
            </w:tcBorders>
            <w:shd w:val="clear" w:color="000000" w:fill="162F65"/>
            <w:vAlign w:val="bottom"/>
            <w:hideMark/>
          </w:tcPr>
          <w:p w14:paraId="54ADCABB" w14:textId="77777777" w:rsidR="00D0615B" w:rsidRPr="00886FCF" w:rsidRDefault="00D0615B" w:rsidP="005C4ECA">
            <w:pPr>
              <w:spacing w:before="0" w:after="0"/>
              <w:jc w:val="center"/>
              <w:rPr>
                <w:color w:val="FFFFFF"/>
                <w:lang w:eastAsia="en-US"/>
              </w:rPr>
            </w:pPr>
            <w:r w:rsidRPr="00886FCF">
              <w:rPr>
                <w:color w:val="FFFFFF"/>
                <w:lang w:eastAsia="en-US"/>
              </w:rPr>
              <w:t>Broj zemalja</w:t>
            </w:r>
          </w:p>
        </w:tc>
        <w:tc>
          <w:tcPr>
            <w:tcW w:w="4883" w:type="dxa"/>
            <w:tcBorders>
              <w:top w:val="single" w:sz="4" w:space="0" w:color="auto"/>
              <w:left w:val="nil"/>
              <w:bottom w:val="single" w:sz="4" w:space="0" w:color="auto"/>
              <w:right w:val="single" w:sz="4" w:space="0" w:color="auto"/>
            </w:tcBorders>
            <w:shd w:val="clear" w:color="000000" w:fill="162F65"/>
            <w:vAlign w:val="bottom"/>
            <w:hideMark/>
          </w:tcPr>
          <w:p w14:paraId="2A474020" w14:textId="77777777" w:rsidR="00D0615B" w:rsidRPr="00886FCF" w:rsidRDefault="00D0615B" w:rsidP="005C4ECA">
            <w:pPr>
              <w:spacing w:before="0" w:after="0"/>
              <w:jc w:val="center"/>
              <w:rPr>
                <w:color w:val="FFFFFF"/>
                <w:lang w:eastAsia="en-US"/>
              </w:rPr>
            </w:pPr>
            <w:r w:rsidRPr="00886FCF">
              <w:rPr>
                <w:color w:val="FFFFFF"/>
                <w:lang w:eastAsia="en-US"/>
              </w:rPr>
              <w:t>Zemlje</w:t>
            </w:r>
          </w:p>
        </w:tc>
      </w:tr>
      <w:tr w:rsidR="00D0615B" w:rsidRPr="00886FCF" w14:paraId="176B815F" w14:textId="77777777" w:rsidTr="00E80AB7">
        <w:trPr>
          <w:trHeight w:val="361"/>
        </w:trPr>
        <w:tc>
          <w:tcPr>
            <w:tcW w:w="2977" w:type="dxa"/>
            <w:tcBorders>
              <w:top w:val="nil"/>
              <w:left w:val="single" w:sz="4" w:space="0" w:color="auto"/>
              <w:bottom w:val="single" w:sz="4" w:space="0" w:color="auto"/>
              <w:right w:val="single" w:sz="4" w:space="0" w:color="auto"/>
            </w:tcBorders>
            <w:vAlign w:val="bottom"/>
            <w:hideMark/>
          </w:tcPr>
          <w:p w14:paraId="1A0345BE" w14:textId="77777777" w:rsidR="00D0615B" w:rsidRPr="00886FCF" w:rsidRDefault="00D0615B" w:rsidP="005C4ECA">
            <w:pPr>
              <w:spacing w:before="0" w:after="0"/>
              <w:rPr>
                <w:color w:val="000000"/>
                <w:lang w:eastAsia="en-US"/>
              </w:rPr>
            </w:pPr>
            <w:r w:rsidRPr="00886FCF">
              <w:rPr>
                <w:color w:val="000000"/>
                <w:lang w:eastAsia="en-US"/>
              </w:rPr>
              <w:t>Plan odobrava regulator</w:t>
            </w:r>
          </w:p>
        </w:tc>
        <w:tc>
          <w:tcPr>
            <w:tcW w:w="1701" w:type="dxa"/>
            <w:tcBorders>
              <w:top w:val="nil"/>
              <w:left w:val="nil"/>
              <w:bottom w:val="single" w:sz="4" w:space="0" w:color="auto"/>
              <w:right w:val="single" w:sz="4" w:space="0" w:color="auto"/>
            </w:tcBorders>
            <w:vAlign w:val="center"/>
            <w:hideMark/>
          </w:tcPr>
          <w:p w14:paraId="0A975003" w14:textId="77777777" w:rsidR="00D0615B" w:rsidRPr="00886FCF" w:rsidRDefault="00D0615B" w:rsidP="005C4ECA">
            <w:pPr>
              <w:spacing w:before="0" w:after="0"/>
              <w:jc w:val="center"/>
              <w:rPr>
                <w:color w:val="000000"/>
                <w:lang w:eastAsia="en-US"/>
              </w:rPr>
            </w:pPr>
            <w:r w:rsidRPr="00886FCF">
              <w:rPr>
                <w:color w:val="000000"/>
                <w:lang w:eastAsia="en-US"/>
              </w:rPr>
              <w:t>2</w:t>
            </w:r>
          </w:p>
        </w:tc>
        <w:tc>
          <w:tcPr>
            <w:tcW w:w="4883" w:type="dxa"/>
            <w:tcBorders>
              <w:top w:val="nil"/>
              <w:left w:val="nil"/>
              <w:bottom w:val="single" w:sz="4" w:space="0" w:color="auto"/>
              <w:right w:val="single" w:sz="4" w:space="0" w:color="auto"/>
            </w:tcBorders>
            <w:noWrap/>
            <w:vAlign w:val="center"/>
            <w:hideMark/>
          </w:tcPr>
          <w:p w14:paraId="69E5293A" w14:textId="77777777" w:rsidR="00D0615B" w:rsidRPr="005E3EC0" w:rsidRDefault="00D0615B" w:rsidP="005C4ECA">
            <w:pPr>
              <w:spacing w:before="0" w:after="0"/>
              <w:rPr>
                <w:color w:val="000000"/>
                <w:lang w:eastAsia="en-US"/>
              </w:rPr>
            </w:pPr>
            <w:r w:rsidRPr="005E3EC0">
              <w:rPr>
                <w:color w:val="000000"/>
                <w:lang w:eastAsia="en-US"/>
              </w:rPr>
              <w:t>Grčka, Švedska</w:t>
            </w:r>
          </w:p>
        </w:tc>
      </w:tr>
      <w:tr w:rsidR="00D0615B" w:rsidRPr="00886FCF" w14:paraId="4B156FF9" w14:textId="77777777" w:rsidTr="00E80AB7">
        <w:trPr>
          <w:trHeight w:val="945"/>
        </w:trPr>
        <w:tc>
          <w:tcPr>
            <w:tcW w:w="2977" w:type="dxa"/>
            <w:tcBorders>
              <w:top w:val="nil"/>
              <w:left w:val="single" w:sz="4" w:space="0" w:color="auto"/>
              <w:bottom w:val="single" w:sz="4" w:space="0" w:color="auto"/>
              <w:right w:val="single" w:sz="4" w:space="0" w:color="auto"/>
            </w:tcBorders>
            <w:vAlign w:val="center"/>
            <w:hideMark/>
          </w:tcPr>
          <w:p w14:paraId="124ED130" w14:textId="77777777" w:rsidR="00D0615B" w:rsidRPr="00886FCF" w:rsidRDefault="00D0615B" w:rsidP="005C4ECA">
            <w:pPr>
              <w:spacing w:before="0" w:after="0"/>
              <w:rPr>
                <w:color w:val="000000"/>
                <w:lang w:eastAsia="en-US"/>
              </w:rPr>
            </w:pPr>
            <w:r w:rsidRPr="00886FCF">
              <w:rPr>
                <w:color w:val="000000"/>
                <w:lang w:eastAsia="en-US"/>
              </w:rPr>
              <w:t>Plan ne odobrava regulator</w:t>
            </w:r>
          </w:p>
        </w:tc>
        <w:tc>
          <w:tcPr>
            <w:tcW w:w="1701" w:type="dxa"/>
            <w:tcBorders>
              <w:top w:val="nil"/>
              <w:left w:val="nil"/>
              <w:bottom w:val="single" w:sz="4" w:space="0" w:color="auto"/>
              <w:right w:val="single" w:sz="4" w:space="0" w:color="auto"/>
            </w:tcBorders>
            <w:vAlign w:val="center"/>
            <w:hideMark/>
          </w:tcPr>
          <w:p w14:paraId="74BBD056" w14:textId="77777777" w:rsidR="00D0615B" w:rsidRPr="00886FCF" w:rsidRDefault="00D0615B" w:rsidP="005C4ECA">
            <w:pPr>
              <w:spacing w:before="0" w:after="0"/>
              <w:jc w:val="center"/>
              <w:rPr>
                <w:color w:val="000000"/>
                <w:lang w:eastAsia="en-US"/>
              </w:rPr>
            </w:pPr>
            <w:r w:rsidRPr="00886FCF">
              <w:rPr>
                <w:color w:val="000000"/>
                <w:lang w:eastAsia="en-US"/>
              </w:rPr>
              <w:t>11</w:t>
            </w:r>
          </w:p>
        </w:tc>
        <w:tc>
          <w:tcPr>
            <w:tcW w:w="4883" w:type="dxa"/>
            <w:tcBorders>
              <w:top w:val="nil"/>
              <w:left w:val="nil"/>
              <w:bottom w:val="single" w:sz="4" w:space="0" w:color="auto"/>
              <w:right w:val="single" w:sz="4" w:space="0" w:color="auto"/>
            </w:tcBorders>
            <w:vAlign w:val="bottom"/>
            <w:hideMark/>
          </w:tcPr>
          <w:p w14:paraId="64347265" w14:textId="77777777" w:rsidR="00D0615B" w:rsidRPr="00886FCF" w:rsidRDefault="00D0615B" w:rsidP="005C4ECA">
            <w:pPr>
              <w:spacing w:before="0" w:after="0"/>
              <w:rPr>
                <w:color w:val="000000"/>
                <w:lang w:eastAsia="en-US"/>
              </w:rPr>
            </w:pPr>
            <w:r w:rsidRPr="00886FCF">
              <w:rPr>
                <w:color w:val="000000"/>
                <w:lang w:eastAsia="en-US"/>
              </w:rPr>
              <w:t>Belgija, Danska, Finska, Francuska, Mađarska, Luksemburg, Nizozemska, Norveška, Portugal, Španjolska, Ujedinjeno Kraljevstvo</w:t>
            </w:r>
          </w:p>
        </w:tc>
      </w:tr>
      <w:tr w:rsidR="00D0615B" w:rsidRPr="00886FCF" w14:paraId="2137BC3A" w14:textId="77777777" w:rsidTr="00E80AB7">
        <w:trPr>
          <w:trHeight w:val="319"/>
        </w:trPr>
        <w:tc>
          <w:tcPr>
            <w:tcW w:w="2977" w:type="dxa"/>
            <w:tcBorders>
              <w:top w:val="nil"/>
              <w:left w:val="single" w:sz="4" w:space="0" w:color="auto"/>
              <w:bottom w:val="single" w:sz="4" w:space="0" w:color="auto"/>
              <w:right w:val="single" w:sz="4" w:space="0" w:color="auto"/>
            </w:tcBorders>
            <w:noWrap/>
            <w:vAlign w:val="bottom"/>
            <w:hideMark/>
          </w:tcPr>
          <w:p w14:paraId="107570C9" w14:textId="77777777" w:rsidR="00D0615B" w:rsidRPr="00C948EA" w:rsidRDefault="00D0615B" w:rsidP="005C4ECA">
            <w:pPr>
              <w:spacing w:before="0" w:after="0"/>
              <w:rPr>
                <w:color w:val="000000"/>
                <w:lang w:eastAsia="en-US"/>
              </w:rPr>
            </w:pPr>
            <w:r w:rsidRPr="00C948EA">
              <w:rPr>
                <w:color w:val="000000"/>
                <w:lang w:eastAsia="en-US"/>
              </w:rPr>
              <w:t>N/A (bez odgovora)</w:t>
            </w:r>
          </w:p>
        </w:tc>
        <w:tc>
          <w:tcPr>
            <w:tcW w:w="1701" w:type="dxa"/>
            <w:tcBorders>
              <w:top w:val="nil"/>
              <w:left w:val="nil"/>
              <w:bottom w:val="single" w:sz="4" w:space="0" w:color="auto"/>
              <w:right w:val="single" w:sz="4" w:space="0" w:color="auto"/>
            </w:tcBorders>
            <w:noWrap/>
            <w:vAlign w:val="bottom"/>
            <w:hideMark/>
          </w:tcPr>
          <w:p w14:paraId="047493E2" w14:textId="77777777" w:rsidR="00D0615B" w:rsidRPr="00C948EA" w:rsidRDefault="00D0615B" w:rsidP="005C4ECA">
            <w:pPr>
              <w:spacing w:before="0" w:after="0"/>
              <w:jc w:val="center"/>
              <w:rPr>
                <w:color w:val="000000"/>
                <w:lang w:eastAsia="en-US"/>
              </w:rPr>
            </w:pPr>
            <w:r w:rsidRPr="00C948EA">
              <w:rPr>
                <w:color w:val="000000"/>
                <w:lang w:eastAsia="en-US"/>
              </w:rPr>
              <w:t>1</w:t>
            </w:r>
          </w:p>
        </w:tc>
        <w:tc>
          <w:tcPr>
            <w:tcW w:w="4883" w:type="dxa"/>
            <w:tcBorders>
              <w:top w:val="nil"/>
              <w:left w:val="nil"/>
              <w:bottom w:val="single" w:sz="4" w:space="0" w:color="auto"/>
              <w:right w:val="single" w:sz="4" w:space="0" w:color="auto"/>
            </w:tcBorders>
            <w:noWrap/>
            <w:vAlign w:val="bottom"/>
            <w:hideMark/>
          </w:tcPr>
          <w:p w14:paraId="0759F5CF" w14:textId="77777777" w:rsidR="00D0615B" w:rsidRPr="00C948EA" w:rsidRDefault="00D0615B" w:rsidP="005C4ECA">
            <w:pPr>
              <w:spacing w:before="0" w:after="0"/>
              <w:rPr>
                <w:color w:val="000000"/>
                <w:lang w:eastAsia="en-US"/>
              </w:rPr>
            </w:pPr>
            <w:r w:rsidRPr="00C948EA">
              <w:rPr>
                <w:color w:val="000000"/>
                <w:lang w:eastAsia="en-US"/>
              </w:rPr>
              <w:t>Cipar</w:t>
            </w:r>
          </w:p>
        </w:tc>
      </w:tr>
    </w:tbl>
    <w:p w14:paraId="79D92FF1" w14:textId="2D68F2D9" w:rsidR="00004AE5" w:rsidRDefault="00096224" w:rsidP="00096224">
      <w:pPr>
        <w:pStyle w:val="Caption"/>
        <w:jc w:val="center"/>
      </w:pPr>
      <w:bookmarkStart w:id="24" w:name="_Toc239944302"/>
      <w:r>
        <w:t xml:space="preserve">Tablica </w:t>
      </w:r>
      <w:fldSimple w:instr=" SEQ Table \* ARABIC ">
        <w:r w:rsidR="00160587">
          <w:rPr>
            <w:noProof/>
          </w:rPr>
          <w:t>4</w:t>
        </w:r>
      </w:fldSimple>
      <w:r>
        <w:t xml:space="preserve">. </w:t>
      </w:r>
      <w:r w:rsidRPr="00017BB1">
        <w:t>Preduvjet</w:t>
      </w:r>
      <w:r>
        <w:t>i</w:t>
      </w:r>
      <w:r w:rsidRPr="00017BB1">
        <w:t xml:space="preserve"> za </w:t>
      </w:r>
      <w:r>
        <w:t>uskratu veleprodajnog pristupa na bakrenoj mreži</w:t>
      </w:r>
      <w:r w:rsidR="006224EB">
        <w:t xml:space="preserve"> – Izvor: Cullen</w:t>
      </w:r>
      <w:bookmarkEnd w:id="24"/>
    </w:p>
    <w:tbl>
      <w:tblPr>
        <w:tblW w:w="9556" w:type="dxa"/>
        <w:tblLook w:val="04A0" w:firstRow="1" w:lastRow="0" w:firstColumn="1" w:lastColumn="0" w:noHBand="0" w:noVBand="1"/>
      </w:tblPr>
      <w:tblGrid>
        <w:gridCol w:w="2320"/>
        <w:gridCol w:w="1503"/>
        <w:gridCol w:w="5733"/>
      </w:tblGrid>
      <w:tr w:rsidR="00004AE5" w:rsidRPr="00F93D81" w14:paraId="6B5CCE4A" w14:textId="77777777" w:rsidTr="00E80AB7">
        <w:trPr>
          <w:trHeight w:val="315"/>
        </w:trPr>
        <w:tc>
          <w:tcPr>
            <w:tcW w:w="2320" w:type="dxa"/>
            <w:tcBorders>
              <w:top w:val="single" w:sz="4" w:space="0" w:color="auto"/>
              <w:left w:val="single" w:sz="4" w:space="0" w:color="auto"/>
              <w:bottom w:val="single" w:sz="4" w:space="0" w:color="auto"/>
              <w:right w:val="single" w:sz="4" w:space="0" w:color="auto"/>
            </w:tcBorders>
            <w:shd w:val="clear" w:color="000000" w:fill="162F65"/>
            <w:vAlign w:val="center"/>
            <w:hideMark/>
          </w:tcPr>
          <w:p w14:paraId="2D75F9A5" w14:textId="77777777" w:rsidR="00004AE5" w:rsidRPr="00F93D81" w:rsidRDefault="00004AE5" w:rsidP="00004AE5">
            <w:pPr>
              <w:spacing w:before="0" w:after="0"/>
              <w:rPr>
                <w:color w:val="FFFFFF"/>
                <w:lang w:eastAsia="en-US"/>
              </w:rPr>
            </w:pPr>
            <w:r w:rsidRPr="00F93D81">
              <w:rPr>
                <w:color w:val="FFFFFF"/>
                <w:lang w:eastAsia="en-US"/>
              </w:rPr>
              <w:t> </w:t>
            </w:r>
          </w:p>
        </w:tc>
        <w:tc>
          <w:tcPr>
            <w:tcW w:w="1503" w:type="dxa"/>
            <w:tcBorders>
              <w:top w:val="single" w:sz="4" w:space="0" w:color="auto"/>
              <w:left w:val="nil"/>
              <w:bottom w:val="single" w:sz="4" w:space="0" w:color="auto"/>
              <w:right w:val="single" w:sz="4" w:space="0" w:color="auto"/>
            </w:tcBorders>
            <w:shd w:val="clear" w:color="000000" w:fill="162F65"/>
            <w:vAlign w:val="center"/>
            <w:hideMark/>
          </w:tcPr>
          <w:p w14:paraId="21F701AA" w14:textId="77777777" w:rsidR="00004AE5" w:rsidRPr="00F93D81" w:rsidRDefault="00004AE5" w:rsidP="00004AE5">
            <w:pPr>
              <w:spacing w:before="0" w:after="0"/>
              <w:rPr>
                <w:color w:val="FFFFFF"/>
                <w:lang w:eastAsia="en-US"/>
              </w:rPr>
            </w:pPr>
            <w:r w:rsidRPr="00F93D81">
              <w:rPr>
                <w:color w:val="FFFFFF"/>
                <w:lang w:eastAsia="en-US"/>
              </w:rPr>
              <w:t>Broj zemalja</w:t>
            </w:r>
          </w:p>
        </w:tc>
        <w:tc>
          <w:tcPr>
            <w:tcW w:w="5733" w:type="dxa"/>
            <w:tcBorders>
              <w:top w:val="single" w:sz="4" w:space="0" w:color="auto"/>
              <w:left w:val="nil"/>
              <w:bottom w:val="single" w:sz="4" w:space="0" w:color="auto"/>
              <w:right w:val="single" w:sz="4" w:space="0" w:color="auto"/>
            </w:tcBorders>
            <w:shd w:val="clear" w:color="000000" w:fill="162F65"/>
            <w:vAlign w:val="center"/>
            <w:hideMark/>
          </w:tcPr>
          <w:p w14:paraId="1C079E9E" w14:textId="77777777" w:rsidR="00004AE5" w:rsidRPr="00F93D81" w:rsidRDefault="00004AE5" w:rsidP="00004AE5">
            <w:pPr>
              <w:spacing w:before="0" w:after="0"/>
              <w:rPr>
                <w:color w:val="FFFFFF"/>
                <w:lang w:eastAsia="en-US"/>
              </w:rPr>
            </w:pPr>
            <w:r w:rsidRPr="00F93D81">
              <w:rPr>
                <w:color w:val="FFFFFF"/>
                <w:lang w:eastAsia="en-US"/>
              </w:rPr>
              <w:t>Zemlje</w:t>
            </w:r>
          </w:p>
        </w:tc>
      </w:tr>
      <w:tr w:rsidR="00004AE5" w:rsidRPr="00F93D81" w14:paraId="65907EFE" w14:textId="77777777" w:rsidTr="00E80AB7">
        <w:trPr>
          <w:trHeight w:val="900"/>
        </w:trPr>
        <w:tc>
          <w:tcPr>
            <w:tcW w:w="2320" w:type="dxa"/>
            <w:tcBorders>
              <w:top w:val="nil"/>
              <w:left w:val="single" w:sz="4" w:space="0" w:color="auto"/>
              <w:bottom w:val="single" w:sz="4" w:space="0" w:color="auto"/>
              <w:right w:val="single" w:sz="4" w:space="0" w:color="auto"/>
            </w:tcBorders>
            <w:vAlign w:val="center"/>
            <w:hideMark/>
          </w:tcPr>
          <w:p w14:paraId="6262E43E" w14:textId="77777777" w:rsidR="00004AE5" w:rsidRPr="00F93D81" w:rsidRDefault="00004AE5" w:rsidP="00004AE5">
            <w:pPr>
              <w:spacing w:before="0" w:after="0"/>
              <w:rPr>
                <w:color w:val="000000"/>
                <w:lang w:eastAsia="en-US"/>
              </w:rPr>
            </w:pPr>
            <w:r w:rsidRPr="00F93D81">
              <w:rPr>
                <w:color w:val="000000"/>
                <w:lang w:eastAsia="en-US"/>
              </w:rPr>
              <w:t>Regulator ne propisuje preduvjete</w:t>
            </w:r>
          </w:p>
        </w:tc>
        <w:tc>
          <w:tcPr>
            <w:tcW w:w="1503" w:type="dxa"/>
            <w:tcBorders>
              <w:top w:val="nil"/>
              <w:left w:val="nil"/>
              <w:bottom w:val="single" w:sz="4" w:space="0" w:color="auto"/>
              <w:right w:val="single" w:sz="4" w:space="0" w:color="auto"/>
            </w:tcBorders>
            <w:vAlign w:val="center"/>
            <w:hideMark/>
          </w:tcPr>
          <w:p w14:paraId="06DB0601" w14:textId="6929F79B" w:rsidR="00004AE5" w:rsidRPr="00F93D81" w:rsidRDefault="00004AE5" w:rsidP="00F633F0">
            <w:pPr>
              <w:spacing w:before="0" w:after="0"/>
              <w:jc w:val="center"/>
              <w:rPr>
                <w:color w:val="000000"/>
                <w:lang w:eastAsia="en-US"/>
              </w:rPr>
            </w:pPr>
            <w:r w:rsidRPr="00F93D81">
              <w:rPr>
                <w:color w:val="000000"/>
                <w:lang w:eastAsia="en-US"/>
              </w:rPr>
              <w:t>1</w:t>
            </w:r>
            <w:r w:rsidR="00F633F0">
              <w:rPr>
                <w:color w:val="000000"/>
                <w:lang w:eastAsia="en-US"/>
              </w:rPr>
              <w:t>2</w:t>
            </w:r>
          </w:p>
        </w:tc>
        <w:tc>
          <w:tcPr>
            <w:tcW w:w="5733" w:type="dxa"/>
            <w:tcBorders>
              <w:top w:val="nil"/>
              <w:left w:val="nil"/>
              <w:bottom w:val="single" w:sz="4" w:space="0" w:color="auto"/>
              <w:right w:val="single" w:sz="4" w:space="0" w:color="auto"/>
            </w:tcBorders>
            <w:vAlign w:val="center"/>
            <w:hideMark/>
          </w:tcPr>
          <w:p w14:paraId="1B8201EC" w14:textId="2E58B78C" w:rsidR="00004AE5" w:rsidRPr="00F93D81" w:rsidRDefault="00004AE5" w:rsidP="008C36E2">
            <w:pPr>
              <w:spacing w:before="0" w:after="0"/>
              <w:rPr>
                <w:color w:val="000000"/>
                <w:lang w:eastAsia="en-US"/>
              </w:rPr>
            </w:pPr>
            <w:r w:rsidRPr="00F93D81">
              <w:rPr>
                <w:color w:val="000000"/>
                <w:lang w:eastAsia="en-US"/>
              </w:rPr>
              <w:t>Austrija, Belgija, Bugarska, Estonija, Finska, Njemačka,  Mađarska, Nizozemska, Rumunjska, Švedska, Švicarska, Norveška</w:t>
            </w:r>
          </w:p>
        </w:tc>
      </w:tr>
      <w:tr w:rsidR="00004AE5" w:rsidRPr="00F93D81" w14:paraId="66155562" w14:textId="77777777" w:rsidTr="00E80AB7">
        <w:trPr>
          <w:trHeight w:val="630"/>
        </w:trPr>
        <w:tc>
          <w:tcPr>
            <w:tcW w:w="2320" w:type="dxa"/>
            <w:tcBorders>
              <w:top w:val="nil"/>
              <w:left w:val="single" w:sz="4" w:space="0" w:color="auto"/>
              <w:bottom w:val="single" w:sz="4" w:space="0" w:color="auto"/>
              <w:right w:val="single" w:sz="4" w:space="0" w:color="auto"/>
            </w:tcBorders>
            <w:vAlign w:val="center"/>
            <w:hideMark/>
          </w:tcPr>
          <w:p w14:paraId="7364C251" w14:textId="77777777" w:rsidR="00004AE5" w:rsidRPr="00F93D81" w:rsidRDefault="00004AE5" w:rsidP="00004AE5">
            <w:pPr>
              <w:spacing w:before="0" w:after="0"/>
              <w:rPr>
                <w:color w:val="000000"/>
                <w:lang w:eastAsia="en-US"/>
              </w:rPr>
            </w:pPr>
            <w:r w:rsidRPr="00F93D81">
              <w:rPr>
                <w:color w:val="000000"/>
                <w:lang w:eastAsia="en-US"/>
              </w:rPr>
              <w:t>Regulator propisuje preduvjete</w:t>
            </w:r>
          </w:p>
        </w:tc>
        <w:tc>
          <w:tcPr>
            <w:tcW w:w="1503" w:type="dxa"/>
            <w:tcBorders>
              <w:top w:val="nil"/>
              <w:left w:val="nil"/>
              <w:bottom w:val="single" w:sz="4" w:space="0" w:color="auto"/>
              <w:right w:val="single" w:sz="4" w:space="0" w:color="auto"/>
            </w:tcBorders>
            <w:vAlign w:val="center"/>
            <w:hideMark/>
          </w:tcPr>
          <w:p w14:paraId="7B7F9AC7" w14:textId="283F1DAE" w:rsidR="00004AE5" w:rsidRPr="00F93D81" w:rsidRDefault="00004AE5" w:rsidP="00F633F0">
            <w:pPr>
              <w:spacing w:before="0" w:after="0"/>
              <w:jc w:val="center"/>
              <w:rPr>
                <w:color w:val="000000"/>
                <w:lang w:eastAsia="en-US"/>
              </w:rPr>
            </w:pPr>
            <w:r w:rsidRPr="00F93D81">
              <w:rPr>
                <w:color w:val="000000"/>
                <w:lang w:eastAsia="en-US"/>
              </w:rPr>
              <w:t>1</w:t>
            </w:r>
            <w:r w:rsidR="00F633F0">
              <w:rPr>
                <w:color w:val="000000"/>
                <w:lang w:eastAsia="en-US"/>
              </w:rPr>
              <w:t>3</w:t>
            </w:r>
          </w:p>
        </w:tc>
        <w:tc>
          <w:tcPr>
            <w:tcW w:w="5733" w:type="dxa"/>
            <w:tcBorders>
              <w:top w:val="nil"/>
              <w:left w:val="nil"/>
              <w:bottom w:val="single" w:sz="4" w:space="0" w:color="auto"/>
              <w:right w:val="single" w:sz="4" w:space="0" w:color="auto"/>
            </w:tcBorders>
            <w:vAlign w:val="center"/>
            <w:hideMark/>
          </w:tcPr>
          <w:p w14:paraId="6961C026" w14:textId="5AB87B87" w:rsidR="00004AE5" w:rsidRPr="00F93D81" w:rsidRDefault="00004AE5" w:rsidP="00004AE5">
            <w:pPr>
              <w:spacing w:before="0" w:after="0"/>
              <w:rPr>
                <w:color w:val="000000"/>
                <w:lang w:eastAsia="en-US"/>
              </w:rPr>
            </w:pPr>
            <w:r w:rsidRPr="00F93D81">
              <w:rPr>
                <w:color w:val="000000"/>
                <w:lang w:eastAsia="en-US"/>
              </w:rPr>
              <w:t xml:space="preserve">Hrvatska, Cipar, Češka, </w:t>
            </w:r>
            <w:r w:rsidR="00F64E47">
              <w:rPr>
                <w:color w:val="000000"/>
                <w:lang w:eastAsia="en-US"/>
              </w:rPr>
              <w:t>Danska</w:t>
            </w:r>
            <w:r w:rsidR="000B5359">
              <w:rPr>
                <w:color w:val="000000"/>
                <w:lang w:eastAsia="en-US"/>
              </w:rPr>
              <w:t xml:space="preserve">, </w:t>
            </w:r>
            <w:r w:rsidRPr="00F93D81">
              <w:rPr>
                <w:color w:val="000000"/>
                <w:lang w:eastAsia="en-US"/>
              </w:rPr>
              <w:t>Latvija, Litva, Luksemburg, Poljska, Slovačka, Slovenija</w:t>
            </w:r>
            <w:r w:rsidR="008C36E2">
              <w:rPr>
                <w:color w:val="000000"/>
                <w:lang w:eastAsia="en-US"/>
              </w:rPr>
              <w:t>, Francuska, Grčka, Irska</w:t>
            </w:r>
          </w:p>
        </w:tc>
      </w:tr>
      <w:tr w:rsidR="00004AE5" w:rsidRPr="00F93D81" w14:paraId="25F3D160" w14:textId="77777777" w:rsidTr="00E80AB7">
        <w:trPr>
          <w:trHeight w:val="300"/>
        </w:trPr>
        <w:tc>
          <w:tcPr>
            <w:tcW w:w="2320" w:type="dxa"/>
            <w:tcBorders>
              <w:top w:val="nil"/>
              <w:left w:val="single" w:sz="4" w:space="0" w:color="auto"/>
              <w:bottom w:val="single" w:sz="4" w:space="0" w:color="auto"/>
              <w:right w:val="single" w:sz="4" w:space="0" w:color="auto"/>
            </w:tcBorders>
            <w:noWrap/>
            <w:vAlign w:val="center"/>
            <w:hideMark/>
          </w:tcPr>
          <w:p w14:paraId="5B7979CD" w14:textId="77777777" w:rsidR="00004AE5" w:rsidRPr="00F93D81" w:rsidRDefault="00004AE5" w:rsidP="00004AE5">
            <w:pPr>
              <w:spacing w:before="0" w:after="0"/>
              <w:rPr>
                <w:color w:val="000000"/>
                <w:lang w:eastAsia="en-US"/>
              </w:rPr>
            </w:pPr>
            <w:r w:rsidRPr="00F93D81">
              <w:rPr>
                <w:color w:val="000000"/>
                <w:lang w:eastAsia="en-US"/>
              </w:rPr>
              <w:t>N/A (bez odgovora)</w:t>
            </w:r>
          </w:p>
        </w:tc>
        <w:tc>
          <w:tcPr>
            <w:tcW w:w="1503" w:type="dxa"/>
            <w:tcBorders>
              <w:top w:val="nil"/>
              <w:left w:val="nil"/>
              <w:bottom w:val="single" w:sz="4" w:space="0" w:color="auto"/>
              <w:right w:val="single" w:sz="4" w:space="0" w:color="auto"/>
            </w:tcBorders>
            <w:noWrap/>
            <w:vAlign w:val="center"/>
            <w:hideMark/>
          </w:tcPr>
          <w:p w14:paraId="5E428836" w14:textId="05A62C42" w:rsidR="00004AE5" w:rsidRPr="00F93D81" w:rsidRDefault="00F633F0" w:rsidP="00004AE5">
            <w:pPr>
              <w:spacing w:before="0" w:after="0"/>
              <w:jc w:val="center"/>
              <w:rPr>
                <w:color w:val="000000"/>
                <w:lang w:eastAsia="en-US"/>
              </w:rPr>
            </w:pPr>
            <w:r>
              <w:rPr>
                <w:color w:val="000000"/>
                <w:lang w:eastAsia="en-US"/>
              </w:rPr>
              <w:t>5</w:t>
            </w:r>
          </w:p>
        </w:tc>
        <w:tc>
          <w:tcPr>
            <w:tcW w:w="5733" w:type="dxa"/>
            <w:tcBorders>
              <w:top w:val="nil"/>
              <w:left w:val="nil"/>
              <w:bottom w:val="single" w:sz="4" w:space="0" w:color="auto"/>
              <w:right w:val="single" w:sz="4" w:space="0" w:color="auto"/>
            </w:tcBorders>
            <w:noWrap/>
            <w:vAlign w:val="center"/>
            <w:hideMark/>
          </w:tcPr>
          <w:p w14:paraId="3970582F" w14:textId="23631D0E" w:rsidR="00004AE5" w:rsidRPr="00F93D81" w:rsidRDefault="00004AE5" w:rsidP="00F633F0">
            <w:pPr>
              <w:spacing w:before="0" w:after="0"/>
              <w:rPr>
                <w:color w:val="000000"/>
                <w:lang w:eastAsia="en-US"/>
              </w:rPr>
            </w:pPr>
            <w:r w:rsidRPr="00F93D81">
              <w:rPr>
                <w:color w:val="000000"/>
                <w:lang w:eastAsia="en-US"/>
              </w:rPr>
              <w:t>Italija, Malta, Portugal, Španjolska</w:t>
            </w:r>
            <w:r w:rsidR="00F633F0">
              <w:rPr>
                <w:color w:val="000000"/>
                <w:lang w:eastAsia="en-US"/>
              </w:rPr>
              <w:t>, Ujedinjeno Kraljevstvo</w:t>
            </w:r>
          </w:p>
        </w:tc>
      </w:tr>
    </w:tbl>
    <w:p w14:paraId="2296559E" w14:textId="77777777" w:rsidR="00213E5C" w:rsidRDefault="00213E5C" w:rsidP="00213E5C">
      <w:pPr>
        <w:pStyle w:val="Osnovnifont"/>
      </w:pPr>
    </w:p>
    <w:p w14:paraId="6873DFA0" w14:textId="653E502A" w:rsidR="00213E5C" w:rsidRDefault="00213E5C" w:rsidP="00213E5C">
      <w:pPr>
        <w:pStyle w:val="Osnovnifont"/>
      </w:pPr>
      <w:r>
        <w:t xml:space="preserve">Vezano za veleprodajni pristup na bakrenoj mreži,  Direktiva </w:t>
      </w:r>
      <w:r w:rsidRPr="009E5F73">
        <w:t>(EU) 2018/1972</w:t>
      </w:r>
      <w:r>
        <w:t xml:space="preserve"> postavlja sljedeće uvjete </w:t>
      </w:r>
      <w:r w:rsidRPr="00C63D3B">
        <w:t xml:space="preserve">koji moraju biti zadovoljeni da bi se </w:t>
      </w:r>
      <w:r>
        <w:t xml:space="preserve">uskratio </w:t>
      </w:r>
      <w:r w:rsidRPr="00C63D3B">
        <w:t>veleprodajni pristup na bakr</w:t>
      </w:r>
      <w:r>
        <w:t xml:space="preserve">enoj mreži: </w:t>
      </w:r>
    </w:p>
    <w:p w14:paraId="4056FE3A" w14:textId="4600A1E5" w:rsidR="00213E5C" w:rsidRDefault="00213E5C" w:rsidP="00213E5C">
      <w:pPr>
        <w:pStyle w:val="Osnovnifont"/>
        <w:numPr>
          <w:ilvl w:val="0"/>
          <w:numId w:val="29"/>
        </w:numPr>
      </w:pPr>
      <w:r>
        <w:t>dostupnost zamjenskih proizvoda temeljenih na VHCN mrežama za veleprodajne i krajnje korisnike</w:t>
      </w:r>
      <w:r w:rsidR="004355C7">
        <w:t>,</w:t>
      </w:r>
      <w:r>
        <w:t xml:space="preserve"> </w:t>
      </w:r>
    </w:p>
    <w:p w14:paraId="6463CFA2" w14:textId="77777777" w:rsidR="00213E5C" w:rsidRDefault="00213E5C" w:rsidP="00213E5C">
      <w:pPr>
        <w:pStyle w:val="Osnovnifont"/>
        <w:numPr>
          <w:ilvl w:val="0"/>
          <w:numId w:val="29"/>
        </w:numPr>
      </w:pPr>
      <w:r>
        <w:t>minimalni prag VHCN pokrivanja za mrežu SMP operatora kojeg određuje regulator,</w:t>
      </w:r>
    </w:p>
    <w:p w14:paraId="64216E83" w14:textId="77777777" w:rsidR="00213E5C" w:rsidRDefault="00213E5C" w:rsidP="00213E5C">
      <w:pPr>
        <w:pStyle w:val="Osnovnifont"/>
        <w:numPr>
          <w:ilvl w:val="0"/>
          <w:numId w:val="29"/>
        </w:numPr>
        <w:spacing w:after="120"/>
      </w:pPr>
      <w:r>
        <w:t xml:space="preserve">odgovarajući rok za obavijest. </w:t>
      </w:r>
    </w:p>
    <w:p w14:paraId="2F7F49C6" w14:textId="6733983E" w:rsidR="00924DE9" w:rsidRDefault="00924DE9" w:rsidP="00924DE9">
      <w:pPr>
        <w:pStyle w:val="Caption"/>
        <w:jc w:val="center"/>
      </w:pPr>
      <w:bookmarkStart w:id="25" w:name="_Toc239944303"/>
      <w:r>
        <w:lastRenderedPageBreak/>
        <w:t xml:space="preserve">Tablica </w:t>
      </w:r>
      <w:fldSimple w:instr=" SEQ Table \* ARABIC ">
        <w:r>
          <w:rPr>
            <w:noProof/>
          </w:rPr>
          <w:t>5</w:t>
        </w:r>
      </w:fldSimple>
      <w:r>
        <w:t>. M</w:t>
      </w:r>
      <w:r w:rsidRPr="001C5CBA">
        <w:t>ogućnost jednostranog raskida ugovora s krajnjim korisnicima</w:t>
      </w:r>
      <w:r>
        <w:t xml:space="preserve"> – Izvor: Cullen</w:t>
      </w:r>
      <w:bookmarkEnd w:id="25"/>
    </w:p>
    <w:tbl>
      <w:tblPr>
        <w:tblW w:w="9570" w:type="dxa"/>
        <w:tblLook w:val="04A0" w:firstRow="1" w:lastRow="0" w:firstColumn="1" w:lastColumn="0" w:noHBand="0" w:noVBand="1"/>
      </w:tblPr>
      <w:tblGrid>
        <w:gridCol w:w="2320"/>
        <w:gridCol w:w="1427"/>
        <w:gridCol w:w="70"/>
        <w:gridCol w:w="5753"/>
      </w:tblGrid>
      <w:tr w:rsidR="00924DE9" w:rsidRPr="00F93D81" w14:paraId="75F9EE76" w14:textId="77777777" w:rsidTr="00924DE9">
        <w:trPr>
          <w:trHeight w:val="315"/>
        </w:trPr>
        <w:tc>
          <w:tcPr>
            <w:tcW w:w="2320" w:type="dxa"/>
            <w:tcBorders>
              <w:top w:val="single" w:sz="4" w:space="0" w:color="auto"/>
              <w:left w:val="single" w:sz="4" w:space="0" w:color="auto"/>
              <w:bottom w:val="single" w:sz="4" w:space="0" w:color="auto"/>
              <w:right w:val="single" w:sz="4" w:space="0" w:color="auto"/>
            </w:tcBorders>
            <w:shd w:val="clear" w:color="000000" w:fill="162F65"/>
            <w:vAlign w:val="center"/>
            <w:hideMark/>
          </w:tcPr>
          <w:p w14:paraId="413DFAE2" w14:textId="77777777" w:rsidR="00924DE9" w:rsidRPr="00F93D81" w:rsidRDefault="00924DE9" w:rsidP="00924DE9">
            <w:pPr>
              <w:spacing w:before="0" w:after="0"/>
              <w:rPr>
                <w:color w:val="FFFFFF"/>
                <w:lang w:eastAsia="en-US"/>
              </w:rPr>
            </w:pPr>
            <w:r w:rsidRPr="00F93D81">
              <w:rPr>
                <w:color w:val="FFFFFF"/>
                <w:lang w:eastAsia="en-US"/>
              </w:rPr>
              <w:t> </w:t>
            </w:r>
          </w:p>
        </w:tc>
        <w:tc>
          <w:tcPr>
            <w:tcW w:w="1497" w:type="dxa"/>
            <w:gridSpan w:val="2"/>
            <w:tcBorders>
              <w:top w:val="single" w:sz="4" w:space="0" w:color="auto"/>
              <w:left w:val="nil"/>
              <w:bottom w:val="single" w:sz="4" w:space="0" w:color="auto"/>
              <w:right w:val="single" w:sz="4" w:space="0" w:color="auto"/>
            </w:tcBorders>
            <w:shd w:val="clear" w:color="000000" w:fill="162F65"/>
            <w:vAlign w:val="center"/>
            <w:hideMark/>
          </w:tcPr>
          <w:p w14:paraId="01CE94A9" w14:textId="77777777" w:rsidR="00924DE9" w:rsidRPr="00F93D81" w:rsidRDefault="00924DE9" w:rsidP="00924DE9">
            <w:pPr>
              <w:spacing w:before="0" w:after="0"/>
              <w:rPr>
                <w:color w:val="FFFFFF"/>
                <w:lang w:eastAsia="en-US"/>
              </w:rPr>
            </w:pPr>
            <w:r w:rsidRPr="00F93D81">
              <w:rPr>
                <w:color w:val="FFFFFF"/>
                <w:lang w:eastAsia="en-US"/>
              </w:rPr>
              <w:t>Broj zemalja</w:t>
            </w:r>
          </w:p>
        </w:tc>
        <w:tc>
          <w:tcPr>
            <w:tcW w:w="5753" w:type="dxa"/>
            <w:tcBorders>
              <w:top w:val="single" w:sz="4" w:space="0" w:color="auto"/>
              <w:left w:val="nil"/>
              <w:bottom w:val="single" w:sz="4" w:space="0" w:color="auto"/>
              <w:right w:val="single" w:sz="4" w:space="0" w:color="auto"/>
            </w:tcBorders>
            <w:shd w:val="clear" w:color="000000" w:fill="162F65"/>
            <w:vAlign w:val="center"/>
            <w:hideMark/>
          </w:tcPr>
          <w:p w14:paraId="6D29C1BA" w14:textId="77777777" w:rsidR="00924DE9" w:rsidRPr="00F93D81" w:rsidRDefault="00924DE9" w:rsidP="00924DE9">
            <w:pPr>
              <w:spacing w:before="0" w:after="0"/>
              <w:rPr>
                <w:color w:val="FFFFFF"/>
                <w:lang w:eastAsia="en-US"/>
              </w:rPr>
            </w:pPr>
            <w:r w:rsidRPr="00F93D81">
              <w:rPr>
                <w:color w:val="FFFFFF"/>
                <w:lang w:eastAsia="en-US"/>
              </w:rPr>
              <w:t>Zemlje</w:t>
            </w:r>
          </w:p>
        </w:tc>
      </w:tr>
      <w:tr w:rsidR="00924DE9" w:rsidRPr="00F93D81" w14:paraId="05F58F37" w14:textId="77777777" w:rsidTr="00924DE9">
        <w:trPr>
          <w:trHeight w:val="1500"/>
        </w:trPr>
        <w:tc>
          <w:tcPr>
            <w:tcW w:w="2320" w:type="dxa"/>
            <w:tcBorders>
              <w:top w:val="nil"/>
              <w:left w:val="single" w:sz="4" w:space="0" w:color="auto"/>
              <w:bottom w:val="single" w:sz="4" w:space="0" w:color="auto"/>
              <w:right w:val="single" w:sz="4" w:space="0" w:color="auto"/>
            </w:tcBorders>
            <w:vAlign w:val="center"/>
            <w:hideMark/>
          </w:tcPr>
          <w:p w14:paraId="103E1962" w14:textId="77777777" w:rsidR="00924DE9" w:rsidRPr="00F93D81" w:rsidRDefault="00924DE9" w:rsidP="00924DE9">
            <w:pPr>
              <w:spacing w:before="0" w:after="0"/>
              <w:rPr>
                <w:color w:val="000000"/>
                <w:lang w:eastAsia="en-US"/>
              </w:rPr>
            </w:pPr>
            <w:r w:rsidRPr="00F93D81">
              <w:rPr>
                <w:color w:val="000000"/>
                <w:lang w:eastAsia="en-US"/>
              </w:rPr>
              <w:t>Moguće jednostrano raskinuti ugovor s krajnjim korisnikom</w:t>
            </w:r>
          </w:p>
        </w:tc>
        <w:tc>
          <w:tcPr>
            <w:tcW w:w="1427" w:type="dxa"/>
            <w:tcBorders>
              <w:top w:val="nil"/>
              <w:left w:val="nil"/>
              <w:bottom w:val="single" w:sz="4" w:space="0" w:color="auto"/>
              <w:right w:val="single" w:sz="4" w:space="0" w:color="auto"/>
            </w:tcBorders>
            <w:vAlign w:val="center"/>
            <w:hideMark/>
          </w:tcPr>
          <w:p w14:paraId="39608976" w14:textId="77777777" w:rsidR="00924DE9" w:rsidRPr="00F93D81" w:rsidRDefault="00924DE9" w:rsidP="00924DE9">
            <w:pPr>
              <w:spacing w:before="0" w:after="0"/>
              <w:jc w:val="center"/>
              <w:rPr>
                <w:color w:val="000000"/>
                <w:lang w:eastAsia="en-US"/>
              </w:rPr>
            </w:pPr>
            <w:r w:rsidRPr="00F93D81">
              <w:rPr>
                <w:color w:val="000000"/>
                <w:lang w:eastAsia="en-US"/>
              </w:rPr>
              <w:t>26</w:t>
            </w:r>
          </w:p>
        </w:tc>
        <w:tc>
          <w:tcPr>
            <w:tcW w:w="5823" w:type="dxa"/>
            <w:gridSpan w:val="2"/>
            <w:tcBorders>
              <w:top w:val="nil"/>
              <w:left w:val="nil"/>
              <w:bottom w:val="single" w:sz="4" w:space="0" w:color="auto"/>
              <w:right w:val="single" w:sz="4" w:space="0" w:color="auto"/>
            </w:tcBorders>
            <w:vAlign w:val="center"/>
            <w:hideMark/>
          </w:tcPr>
          <w:p w14:paraId="47864AEF" w14:textId="77777777" w:rsidR="00924DE9" w:rsidRPr="00F93D81" w:rsidRDefault="00924DE9" w:rsidP="00924DE9">
            <w:pPr>
              <w:spacing w:before="0" w:after="0"/>
              <w:rPr>
                <w:color w:val="000000"/>
                <w:lang w:eastAsia="en-US"/>
              </w:rPr>
            </w:pPr>
            <w:r w:rsidRPr="00F93D81">
              <w:rPr>
                <w:color w:val="000000"/>
                <w:lang w:eastAsia="en-US"/>
              </w:rPr>
              <w:t xml:space="preserve">Austrija, Belgija, Bugarska, Hrvatska, Cipar, Danska, Estonija, Finska, Francuska, Grčka, Mađarska, </w:t>
            </w:r>
            <w:r>
              <w:rPr>
                <w:color w:val="000000"/>
                <w:lang w:eastAsia="en-US"/>
              </w:rPr>
              <w:t xml:space="preserve">Irska, </w:t>
            </w:r>
            <w:r w:rsidRPr="00F93D81">
              <w:rPr>
                <w:color w:val="000000"/>
                <w:lang w:eastAsia="en-US"/>
              </w:rPr>
              <w:t>Latvija, Litva, Luksemburg, Malta, Nizozemska, Poljska, Portugal, Rumunjska, Slovačka, Slovenija, Švedska, Švicarska, Ujedinjeno Kraljevstvo</w:t>
            </w:r>
            <w:r>
              <w:rPr>
                <w:color w:val="000000"/>
                <w:lang w:eastAsia="en-US"/>
              </w:rPr>
              <w:t>; Njemačka</w:t>
            </w:r>
          </w:p>
        </w:tc>
      </w:tr>
      <w:tr w:rsidR="00924DE9" w:rsidRPr="00F93D81" w14:paraId="05012609" w14:textId="77777777" w:rsidTr="00924DE9">
        <w:trPr>
          <w:trHeight w:val="300"/>
        </w:trPr>
        <w:tc>
          <w:tcPr>
            <w:tcW w:w="2320" w:type="dxa"/>
            <w:tcBorders>
              <w:top w:val="nil"/>
              <w:left w:val="single" w:sz="4" w:space="0" w:color="auto"/>
              <w:bottom w:val="single" w:sz="4" w:space="0" w:color="auto"/>
              <w:right w:val="single" w:sz="4" w:space="0" w:color="auto"/>
            </w:tcBorders>
            <w:noWrap/>
            <w:vAlign w:val="center"/>
            <w:hideMark/>
          </w:tcPr>
          <w:p w14:paraId="3883E309" w14:textId="77777777" w:rsidR="00924DE9" w:rsidRPr="00F93D81" w:rsidRDefault="00924DE9" w:rsidP="00924DE9">
            <w:pPr>
              <w:spacing w:before="0" w:after="0"/>
              <w:rPr>
                <w:color w:val="000000"/>
                <w:lang w:eastAsia="en-US"/>
              </w:rPr>
            </w:pPr>
            <w:r w:rsidRPr="00F93D81">
              <w:rPr>
                <w:color w:val="000000"/>
                <w:lang w:eastAsia="en-US"/>
              </w:rPr>
              <w:t>N/A (bez odgovora)</w:t>
            </w:r>
          </w:p>
        </w:tc>
        <w:tc>
          <w:tcPr>
            <w:tcW w:w="1427" w:type="dxa"/>
            <w:tcBorders>
              <w:top w:val="nil"/>
              <w:left w:val="nil"/>
              <w:bottom w:val="single" w:sz="4" w:space="0" w:color="auto"/>
              <w:right w:val="single" w:sz="4" w:space="0" w:color="auto"/>
            </w:tcBorders>
            <w:noWrap/>
            <w:vAlign w:val="center"/>
            <w:hideMark/>
          </w:tcPr>
          <w:p w14:paraId="36A990A2" w14:textId="77777777" w:rsidR="00924DE9" w:rsidRPr="00F93D81" w:rsidRDefault="00924DE9" w:rsidP="00924DE9">
            <w:pPr>
              <w:spacing w:before="0" w:after="0"/>
              <w:jc w:val="center"/>
              <w:rPr>
                <w:color w:val="000000"/>
                <w:lang w:eastAsia="en-US"/>
              </w:rPr>
            </w:pPr>
            <w:r w:rsidRPr="00F93D81">
              <w:rPr>
                <w:color w:val="000000"/>
                <w:lang w:eastAsia="en-US"/>
              </w:rPr>
              <w:t>4</w:t>
            </w:r>
          </w:p>
        </w:tc>
        <w:tc>
          <w:tcPr>
            <w:tcW w:w="5823" w:type="dxa"/>
            <w:gridSpan w:val="2"/>
            <w:tcBorders>
              <w:top w:val="nil"/>
              <w:left w:val="nil"/>
              <w:bottom w:val="single" w:sz="4" w:space="0" w:color="auto"/>
              <w:right w:val="single" w:sz="4" w:space="0" w:color="auto"/>
            </w:tcBorders>
            <w:noWrap/>
            <w:vAlign w:val="center"/>
            <w:hideMark/>
          </w:tcPr>
          <w:p w14:paraId="221E71D1" w14:textId="77777777" w:rsidR="00924DE9" w:rsidRPr="00F93D81" w:rsidRDefault="00924DE9" w:rsidP="00924DE9">
            <w:pPr>
              <w:spacing w:before="0" w:after="0"/>
              <w:rPr>
                <w:color w:val="000000"/>
                <w:lang w:eastAsia="en-US"/>
              </w:rPr>
            </w:pPr>
            <w:r w:rsidRPr="00F93D81">
              <w:rPr>
                <w:color w:val="000000"/>
                <w:lang w:eastAsia="en-US"/>
              </w:rPr>
              <w:t>Češka, Italija, Norveška, Španjolska</w:t>
            </w:r>
          </w:p>
        </w:tc>
      </w:tr>
    </w:tbl>
    <w:p w14:paraId="273CE4DB" w14:textId="56933852" w:rsidR="00004AE5" w:rsidRDefault="00004AE5" w:rsidP="00004AE5">
      <w:pPr>
        <w:pStyle w:val="Osnovnifont"/>
        <w:spacing w:after="120"/>
      </w:pPr>
    </w:p>
    <w:p w14:paraId="6859D12A" w14:textId="77777777" w:rsidR="00941B6E" w:rsidRDefault="009A259A" w:rsidP="00004AE5">
      <w:pPr>
        <w:pStyle w:val="Osnovnifont"/>
        <w:spacing w:after="120"/>
        <w:rPr>
          <w:i/>
          <w:lang w:val="en-US"/>
        </w:rPr>
      </w:pPr>
      <w:r w:rsidRPr="00E80AB7">
        <w:t>U nastavku je dan pregled stanja i opis procesa gašenja bakrene mreže temeljem podataka iz</w:t>
      </w:r>
      <w:r w:rsidR="00924DE9">
        <w:t xml:space="preserve"> </w:t>
      </w:r>
      <w:r w:rsidR="00924DE9" w:rsidRPr="00901828">
        <w:rPr>
          <w:i/>
        </w:rPr>
        <w:t xml:space="preserve">BEREC </w:t>
      </w:r>
      <w:r w:rsidR="00924DE9" w:rsidRPr="00815B36">
        <w:rPr>
          <w:i/>
          <w:lang w:val="en-US"/>
        </w:rPr>
        <w:t>Report on managing copper network switch-off</w:t>
      </w:r>
      <w:r w:rsidR="00924DE9">
        <w:rPr>
          <w:rStyle w:val="FootnoteReference"/>
          <w:i/>
        </w:rPr>
        <w:footnoteReference w:id="9"/>
      </w:r>
      <w:r w:rsidR="00213E5C">
        <w:rPr>
          <w:i/>
          <w:lang w:val="en-US"/>
        </w:rPr>
        <w:t xml:space="preserve">. </w:t>
      </w:r>
    </w:p>
    <w:p w14:paraId="3E8C1742" w14:textId="7DB37343" w:rsidR="00924DE9" w:rsidRDefault="00924DE9" w:rsidP="00004AE5">
      <w:pPr>
        <w:pStyle w:val="Osnovnifont"/>
        <w:spacing w:after="120"/>
      </w:pPr>
      <w:r w:rsidRPr="00924DE9">
        <w:t>Prema izvješću BEREC-a, većina regulatora se izjasnila da SMP operatori u njihovim zemljama neće ugasiti bakrenu mrežu prije 2030.</w:t>
      </w:r>
    </w:p>
    <w:p w14:paraId="68E49121" w14:textId="4F8BBADA" w:rsidR="00FD1A7D" w:rsidRDefault="00FD1A7D" w:rsidP="00004AE5">
      <w:pPr>
        <w:pStyle w:val="Osnovnifont"/>
        <w:spacing w:after="120"/>
      </w:pPr>
      <w:r>
        <w:t>U 6 zemalja, regul</w:t>
      </w:r>
      <w:r w:rsidR="004C6347">
        <w:t>ator dopušta gašenje bakrenih elemenata</w:t>
      </w:r>
      <w:r>
        <w:t xml:space="preserve"> mreže samo pod uvjetom da je NGA </w:t>
      </w:r>
      <w:r w:rsidR="00C948EA">
        <w:t xml:space="preserve">(mreža nove generacije) </w:t>
      </w:r>
      <w:r>
        <w:t>mreža izgrađena do određenog stupnja. U Francuskoj cijela FTTH mreža n</w:t>
      </w:r>
      <w:r w:rsidR="004C6347">
        <w:t xml:space="preserve">a </w:t>
      </w:r>
      <w:r>
        <w:t xml:space="preserve">kraju roka za obavijest mora biti na raspolaganju, u suprotnom, gašenje mreže se </w:t>
      </w:r>
      <w:r w:rsidR="00C948EA">
        <w:t>odgađa</w:t>
      </w:r>
      <w:r>
        <w:t xml:space="preserve">. </w:t>
      </w:r>
    </w:p>
    <w:p w14:paraId="1070083F" w14:textId="7D246F8A" w:rsidR="008D3437" w:rsidRDefault="004C6347" w:rsidP="00004AE5">
      <w:pPr>
        <w:pStyle w:val="Osnovnifont"/>
        <w:spacing w:after="120"/>
      </w:pPr>
      <w:r>
        <w:t>Za ona</w:t>
      </w:r>
      <w:r w:rsidR="00FD1A7D">
        <w:t xml:space="preserve"> </w:t>
      </w:r>
      <w:r>
        <w:t>kućanstva</w:t>
      </w:r>
      <w:r w:rsidR="00FD1A7D">
        <w:t xml:space="preserve"> koj</w:t>
      </w:r>
      <w:r>
        <w:t>a ne mogu biti pokrivena</w:t>
      </w:r>
      <w:r w:rsidR="00FD1A7D">
        <w:t xml:space="preserve"> s FTTH</w:t>
      </w:r>
      <w:r>
        <w:t xml:space="preserve"> tehnologijom</w:t>
      </w:r>
      <w:r w:rsidR="008D3437">
        <w:t xml:space="preserve">, non-NGA </w:t>
      </w:r>
      <w:r>
        <w:t>alternative</w:t>
      </w:r>
      <w:r w:rsidR="008D3437">
        <w:t xml:space="preserve"> moraju biti na </w:t>
      </w:r>
      <w:r>
        <w:t>raspolaganju</w:t>
      </w:r>
      <w:r w:rsidR="008D3437">
        <w:t xml:space="preserve"> </w:t>
      </w:r>
      <w:r>
        <w:t>barem</w:t>
      </w:r>
      <w:r w:rsidR="008D3437">
        <w:t xml:space="preserve"> neko vrijeme. U Grčkoj 60</w:t>
      </w:r>
      <w:r w:rsidR="00653930">
        <w:t xml:space="preserve"> </w:t>
      </w:r>
      <w:r w:rsidR="008D3437">
        <w:t xml:space="preserve">% </w:t>
      </w:r>
      <w:r>
        <w:t>korisnika</w:t>
      </w:r>
      <w:r w:rsidR="008D3437">
        <w:t xml:space="preserve"> </w:t>
      </w:r>
      <w:r>
        <w:t>koji</w:t>
      </w:r>
      <w:r w:rsidR="008D3437">
        <w:t xml:space="preserve"> koriste povijesnu </w:t>
      </w:r>
      <w:r>
        <w:t xml:space="preserve">infrastrukturu </w:t>
      </w:r>
      <w:r w:rsidR="008D3437">
        <w:t xml:space="preserve">mora biti pokriveno s FTTC ili FTTH mrežom </w:t>
      </w:r>
      <w:r>
        <w:t>p</w:t>
      </w:r>
      <w:r w:rsidR="008D3437">
        <w:t>rije početka r</w:t>
      </w:r>
      <w:r>
        <w:t>o</w:t>
      </w:r>
      <w:r w:rsidR="008D3437">
        <w:t>ka za obavijest. U Italiji 100</w:t>
      </w:r>
      <w:r w:rsidR="00653930">
        <w:t xml:space="preserve"> </w:t>
      </w:r>
      <w:r w:rsidR="008D3437">
        <w:t>% aktivnih</w:t>
      </w:r>
      <w:r>
        <w:t xml:space="preserve"> </w:t>
      </w:r>
      <w:r w:rsidR="008D3437">
        <w:t>linija mora biti pokriveno generičkom NGA mrežom prije početka roka za obavješćivanje, samo</w:t>
      </w:r>
      <w:r>
        <w:t xml:space="preserve"> </w:t>
      </w:r>
      <w:r w:rsidR="008D3437">
        <w:t>u iznimnim slučajevima uključujući FWA s najmanje 40 Mbs</w:t>
      </w:r>
      <w:r>
        <w:t>/4M</w:t>
      </w:r>
      <w:r w:rsidR="008D3437">
        <w:t>bps brzinama.</w:t>
      </w:r>
    </w:p>
    <w:p w14:paraId="0959CB23" w14:textId="66C25D80" w:rsidR="00FD1A7D" w:rsidRDefault="008D3437" w:rsidP="00004AE5">
      <w:pPr>
        <w:pStyle w:val="Osnovnifont"/>
        <w:spacing w:after="120"/>
      </w:pPr>
      <w:r>
        <w:t xml:space="preserve">U Mađarskoj, u </w:t>
      </w:r>
      <w:r w:rsidR="001C67E1">
        <w:t>pr</w:t>
      </w:r>
      <w:r>
        <w:t>avilu</w:t>
      </w:r>
      <w:r w:rsidR="001C67E1">
        <w:t xml:space="preserve"> </w:t>
      </w:r>
      <w:r>
        <w:t>100</w:t>
      </w:r>
      <w:r w:rsidR="00653930">
        <w:t xml:space="preserve"> </w:t>
      </w:r>
      <w:r>
        <w:t xml:space="preserve">% NGA pokrivanja se </w:t>
      </w:r>
      <w:r w:rsidR="001C67E1">
        <w:t>očekuje</w:t>
      </w:r>
      <w:r>
        <w:t xml:space="preserve"> unutar roka od 6 (u područjima</w:t>
      </w:r>
      <w:r w:rsidR="001C67E1">
        <w:t xml:space="preserve"> </w:t>
      </w:r>
      <w:r>
        <w:t>bez veleprodajnih</w:t>
      </w:r>
      <w:r w:rsidR="001C67E1">
        <w:t xml:space="preserve"> </w:t>
      </w:r>
      <w:r>
        <w:t>korisnika</w:t>
      </w:r>
      <w:r w:rsidR="00D3154D">
        <w:t>)</w:t>
      </w:r>
      <w:r>
        <w:t xml:space="preserve"> mjeseci do 12</w:t>
      </w:r>
      <w:r w:rsidR="00D3154D">
        <w:t xml:space="preserve"> </w:t>
      </w:r>
      <w:r>
        <w:t>mjeseci</w:t>
      </w:r>
      <w:r w:rsidR="00D3154D">
        <w:t xml:space="preserve"> </w:t>
      </w:r>
      <w:r>
        <w:t>pri</w:t>
      </w:r>
      <w:r w:rsidR="00D3154D">
        <w:t>j</w:t>
      </w:r>
      <w:r>
        <w:t>e n</w:t>
      </w:r>
      <w:r w:rsidR="00D3154D">
        <w:t>e</w:t>
      </w:r>
      <w:r>
        <w:t xml:space="preserve">go je gašenje dozvoljeno. </w:t>
      </w:r>
    </w:p>
    <w:p w14:paraId="438445E6" w14:textId="2670644F" w:rsidR="008D3437" w:rsidRDefault="00653930" w:rsidP="00004AE5">
      <w:pPr>
        <w:pStyle w:val="Osnovnifont"/>
        <w:spacing w:after="120"/>
      </w:pPr>
      <w:r>
        <w:t xml:space="preserve">U </w:t>
      </w:r>
      <w:r w:rsidR="008D3437">
        <w:t>Irskoj, 100</w:t>
      </w:r>
      <w:r>
        <w:t xml:space="preserve"> </w:t>
      </w:r>
      <w:r w:rsidR="008D3437">
        <w:t xml:space="preserve">% </w:t>
      </w:r>
      <w:r w:rsidR="002B6442">
        <w:t>kućanstava</w:t>
      </w:r>
      <w:r w:rsidR="008D3437">
        <w:t xml:space="preserve"> u područjima lo</w:t>
      </w:r>
      <w:r w:rsidR="004C6347">
        <w:t xml:space="preserve">kalnih centrala mora biti pokriveno modernom infrastrukturom. </w:t>
      </w:r>
      <w:r w:rsidR="00D3154D">
        <w:t>U</w:t>
      </w:r>
      <w:r w:rsidR="004C6347">
        <w:t xml:space="preserve"> </w:t>
      </w:r>
      <w:r w:rsidR="002B6442">
        <w:t>Luxembourgu</w:t>
      </w:r>
      <w:r w:rsidR="004C6347">
        <w:t>, 100</w:t>
      </w:r>
      <w:r>
        <w:t xml:space="preserve"> </w:t>
      </w:r>
      <w:r w:rsidR="004C6347">
        <w:t xml:space="preserve">% FTTH pokrivanja mora biti </w:t>
      </w:r>
      <w:r w:rsidR="00D3154D">
        <w:t>osigurano</w:t>
      </w:r>
      <w:r w:rsidR="004C6347">
        <w:t xml:space="preserve"> prije gašenja. </w:t>
      </w:r>
    </w:p>
    <w:p w14:paraId="5675FD3B" w14:textId="70C61DC1" w:rsidR="004C6347" w:rsidRDefault="004C6347" w:rsidP="00004AE5">
      <w:pPr>
        <w:pStyle w:val="Osnovnifont"/>
        <w:spacing w:after="120"/>
      </w:pPr>
      <w:r>
        <w:t xml:space="preserve">U 12 zemalja (Belgija, Cipar, Danska, Estonija , Španjolska, Mlata, Poljska, </w:t>
      </w:r>
      <w:r w:rsidR="00D3154D">
        <w:t>Portugal</w:t>
      </w:r>
      <w:r>
        <w:t xml:space="preserve">, </w:t>
      </w:r>
      <w:r w:rsidR="00D3154D">
        <w:t>Slovenija</w:t>
      </w:r>
      <w:r>
        <w:t xml:space="preserve"> i Slovačka)</w:t>
      </w:r>
      <w:r w:rsidR="00D3154D">
        <w:t>,</w:t>
      </w:r>
      <w:r>
        <w:t xml:space="preserve"> </w:t>
      </w:r>
      <w:r w:rsidR="00D3154D">
        <w:t>p</w:t>
      </w:r>
      <w:r>
        <w:t>ravila</w:t>
      </w:r>
      <w:r w:rsidR="00D3154D">
        <w:t xml:space="preserve"> </w:t>
      </w:r>
      <w:r>
        <w:t xml:space="preserve">koja je postavio </w:t>
      </w:r>
      <w:r w:rsidR="00D3154D">
        <w:t>regulator</w:t>
      </w:r>
      <w:r>
        <w:t xml:space="preserve"> dozvoljavaju gašenje </w:t>
      </w:r>
      <w:r w:rsidR="00D3154D">
        <w:t>mreže</w:t>
      </w:r>
      <w:r>
        <w:t xml:space="preserve"> neovisno o tome ko</w:t>
      </w:r>
      <w:r w:rsidR="00D3154D">
        <w:t>l</w:t>
      </w:r>
      <w:r>
        <w:t xml:space="preserve">iko je NGA </w:t>
      </w:r>
      <w:r w:rsidR="00D3154D">
        <w:t>pokrivanje</w:t>
      </w:r>
      <w:r>
        <w:t xml:space="preserve"> SMP operator dosegnuo. </w:t>
      </w:r>
    </w:p>
    <w:p w14:paraId="49EF79BF" w14:textId="77777777" w:rsidR="00E80AB7" w:rsidRDefault="00C63D3B" w:rsidP="00E80AB7">
      <w:pPr>
        <w:pStyle w:val="Osnovnifont"/>
        <w:spacing w:before="120" w:after="120"/>
      </w:pPr>
      <w:r>
        <w:t>Vezano uz rokove obavijesti isti se kreću od 1, 2, 3 i 6 mjeseci odnosno 1, 2, 3 i 5 godina.</w:t>
      </w:r>
    </w:p>
    <w:p w14:paraId="4F801F19" w14:textId="7267C47B" w:rsidR="00E80AB7" w:rsidRDefault="00996549" w:rsidP="00C34DE3">
      <w:pPr>
        <w:pStyle w:val="Osnovnifont"/>
        <w:spacing w:before="120" w:after="120"/>
      </w:pPr>
      <w:r>
        <w:t>U</w:t>
      </w:r>
      <w:r w:rsidR="00C63D3B">
        <w:t xml:space="preserve"> 27 zemalja povijesni operator ne treba ponuditi </w:t>
      </w:r>
      <w:r w:rsidR="000B6D48">
        <w:t xml:space="preserve">zamjenski </w:t>
      </w:r>
      <w:r w:rsidR="00C63D3B">
        <w:t>proizvod po istoj cijeni, dok je u samo 1 zemlji (</w:t>
      </w:r>
      <w:r w:rsidR="00096224">
        <w:t>Cipar</w:t>
      </w:r>
      <w:r w:rsidR="00C63D3B">
        <w:t>) to obveza za povijesnog operatora</w:t>
      </w:r>
      <w:r w:rsidR="00E53A85">
        <w:t xml:space="preserve">. </w:t>
      </w:r>
      <w:r w:rsidR="000B6D48">
        <w:t>Za</w:t>
      </w:r>
      <w:r w:rsidR="000B6D48" w:rsidRPr="00E53A85">
        <w:t xml:space="preserve"> </w:t>
      </w:r>
      <w:r w:rsidRPr="00E53A85">
        <w:t xml:space="preserve">2 zemlje </w:t>
      </w:r>
      <w:r w:rsidR="00E53A85" w:rsidRPr="00E53A85">
        <w:t xml:space="preserve">(Njemačka i Nizozemska) </w:t>
      </w:r>
      <w:r w:rsidR="000B6D48">
        <w:t>nije dostavljen odgovor</w:t>
      </w:r>
      <w:r w:rsidR="00C63D3B">
        <w:t>.</w:t>
      </w:r>
    </w:p>
    <w:p w14:paraId="25E84BE9" w14:textId="22847B6F" w:rsidR="00983EE5" w:rsidRDefault="002A4DAA" w:rsidP="00547C48">
      <w:pPr>
        <w:pStyle w:val="Osnovnifont"/>
        <w:spacing w:after="120"/>
      </w:pPr>
      <w:r>
        <w:t xml:space="preserve">Vezano uz pitanje troškova migracije, većina regulatora primjenjuje </w:t>
      </w:r>
      <w:r w:rsidR="00983EE5">
        <w:t>regulaciju</w:t>
      </w:r>
      <w:r>
        <w:t xml:space="preserve"> cijena za povijesne pristupne proizvode temeljene na bakru kroz postupak analize </w:t>
      </w:r>
      <w:r w:rsidR="00983EE5">
        <w:t>tržišta</w:t>
      </w:r>
      <w:r>
        <w:t xml:space="preserve">. </w:t>
      </w:r>
      <w:r w:rsidR="00983EE5">
        <w:t>Osim toga</w:t>
      </w:r>
      <w:r w:rsidR="00EC39DA">
        <w:t>,</w:t>
      </w:r>
      <w:r w:rsidR="00983EE5">
        <w:t xml:space="preserve"> obično ne postoji druga regulacija troškova migracije. Međutim, neki regulatori smatraju da takva regulacija nije dovoljna i stoga postavlja</w:t>
      </w:r>
      <w:r w:rsidR="00A26CBA">
        <w:t>ju</w:t>
      </w:r>
      <w:r w:rsidR="00983EE5">
        <w:t xml:space="preserve"> </w:t>
      </w:r>
      <w:r w:rsidR="00A26CBA">
        <w:t>detaljnija</w:t>
      </w:r>
      <w:r w:rsidR="00983EE5">
        <w:t xml:space="preserve"> pravila vezano uz troškove </w:t>
      </w:r>
      <w:r w:rsidR="00653930">
        <w:t>migracije</w:t>
      </w:r>
      <w:r w:rsidR="00983EE5">
        <w:t xml:space="preserve">; to je slučaj u 5 zemalja </w:t>
      </w:r>
      <w:r w:rsidR="00983EE5">
        <w:lastRenderedPageBreak/>
        <w:t>koje su odgovorile na ovo pitanje (Cipar, Francuska, Grčka, Irska i Italija</w:t>
      </w:r>
      <w:r w:rsidR="00A26CBA">
        <w:t>)</w:t>
      </w:r>
      <w:r w:rsidR="00983EE5">
        <w:t>.</w:t>
      </w:r>
      <w:r w:rsidR="00B56683">
        <w:t xml:space="preserve"> </w:t>
      </w:r>
      <w:r w:rsidR="00547C48" w:rsidRPr="00547C48">
        <w:t xml:space="preserve">Na temelju prikupljenih podataka može se zaključiti da su pravila koja su uvela nacionalna regulatorna tijela općenito usmjerena na podjelu troškova migracije između </w:t>
      </w:r>
      <w:r w:rsidR="00547C48">
        <w:t xml:space="preserve">SMP-a </w:t>
      </w:r>
      <w:r w:rsidR="00547C48" w:rsidRPr="00547C48">
        <w:t>i operatora korisnika veleprodajnog pristupa.</w:t>
      </w:r>
      <w:r w:rsidR="00983EE5">
        <w:t xml:space="preserve"> </w:t>
      </w:r>
    </w:p>
    <w:p w14:paraId="3A72AB92" w14:textId="63DA231D" w:rsidR="000A336B" w:rsidRDefault="000A336B" w:rsidP="00547C48">
      <w:pPr>
        <w:pStyle w:val="Osnovnifont"/>
        <w:spacing w:after="120"/>
      </w:pPr>
      <w:r>
        <w:t>Proces migracije može prouzročiti nova otvor</w:t>
      </w:r>
      <w:r w:rsidR="00EE7156">
        <w:t>e</w:t>
      </w:r>
      <w:r>
        <w:t>n</w:t>
      </w:r>
      <w:r w:rsidR="00EE7156">
        <w:t>a</w:t>
      </w:r>
      <w:r>
        <w:t xml:space="preserve"> pitanja za </w:t>
      </w:r>
      <w:r w:rsidR="00EE7156">
        <w:t>korisnike</w:t>
      </w:r>
      <w:r>
        <w:t>. Dok je 10 zemalja</w:t>
      </w:r>
      <w:r w:rsidR="00EE7156">
        <w:t xml:space="preserve"> potvrdilo</w:t>
      </w:r>
      <w:r>
        <w:t xml:space="preserve"> da nije imalo nikakvih negativnih posljedica tijekom postupka </w:t>
      </w:r>
      <w:r w:rsidR="00EE7156">
        <w:t>migracije</w:t>
      </w:r>
      <w:r>
        <w:t xml:space="preserve"> (Estonija, Italija, Danska, Belgija, Češka, Mađarska, Cipar, Mlata, </w:t>
      </w:r>
      <w:r w:rsidR="00EE7156">
        <w:t>Slovenija</w:t>
      </w:r>
      <w:r>
        <w:t>, Luksemburg</w:t>
      </w:r>
      <w:r w:rsidR="005E3EC0">
        <w:t>)</w:t>
      </w:r>
      <w:r>
        <w:t>, 6 zemalja (Portugal, Finska</w:t>
      </w:r>
      <w:r w:rsidR="00EE7156">
        <w:t>,</w:t>
      </w:r>
      <w:r>
        <w:t xml:space="preserve"> Francuska, Španjolska, Slovačka, Švedska) dije</w:t>
      </w:r>
      <w:r w:rsidR="00EE7156">
        <w:t xml:space="preserve">le </w:t>
      </w:r>
      <w:r>
        <w:t xml:space="preserve">negativno iskustvo s </w:t>
      </w:r>
      <w:r w:rsidR="00EE7156">
        <w:t>postupkom migracije.</w:t>
      </w:r>
      <w:r>
        <w:t xml:space="preserve"> Među </w:t>
      </w:r>
      <w:r w:rsidR="00EE7156">
        <w:t>najčešće</w:t>
      </w:r>
      <w:r>
        <w:t xml:space="preserve"> </w:t>
      </w:r>
      <w:r w:rsidR="004F3B49">
        <w:t>spominjanim problemi</w:t>
      </w:r>
      <w:r w:rsidR="00EE7156">
        <w:t xml:space="preserve">ma tijekom postupka </w:t>
      </w:r>
      <w:r w:rsidR="004F3B49">
        <w:t>migracije su prekid usluge</w:t>
      </w:r>
      <w:r w:rsidR="00EE7156">
        <w:t xml:space="preserve"> </w:t>
      </w:r>
      <w:r w:rsidR="004F3B49">
        <w:t>(Portugal, Španjolska, Slovačka, Švedska) i nedostatak inf</w:t>
      </w:r>
      <w:r w:rsidR="00EE7156">
        <w:t xml:space="preserve">ormacija </w:t>
      </w:r>
      <w:r w:rsidR="004F3B49">
        <w:t xml:space="preserve">(Portugal, </w:t>
      </w:r>
      <w:r w:rsidR="00EE7156">
        <w:t>Š</w:t>
      </w:r>
      <w:r w:rsidR="004F3B49">
        <w:t>p</w:t>
      </w:r>
      <w:r w:rsidR="00EE7156">
        <w:t>a</w:t>
      </w:r>
      <w:r w:rsidR="004F3B49">
        <w:t>njolsk</w:t>
      </w:r>
      <w:r w:rsidR="00EE7156">
        <w:t xml:space="preserve">a, </w:t>
      </w:r>
      <w:r w:rsidR="004F3B49">
        <w:t>F</w:t>
      </w:r>
      <w:r w:rsidR="00EE7156">
        <w:t>i</w:t>
      </w:r>
      <w:r w:rsidR="004F3B49">
        <w:t xml:space="preserve">nska, Švedska). </w:t>
      </w:r>
    </w:p>
    <w:p w14:paraId="5DA32CA8" w14:textId="77777777" w:rsidR="00924DE9" w:rsidRDefault="004F3B49" w:rsidP="00547C48">
      <w:pPr>
        <w:pStyle w:val="Osnovnifont"/>
        <w:spacing w:after="120"/>
      </w:pPr>
      <w:r>
        <w:t xml:space="preserve">Različita su pravila primjenom kojih bi se mogli </w:t>
      </w:r>
      <w:r w:rsidR="00EE7156">
        <w:t>prevladati</w:t>
      </w:r>
      <w:r>
        <w:t xml:space="preserve"> </w:t>
      </w:r>
      <w:r w:rsidR="00EE7156">
        <w:t>problemi</w:t>
      </w:r>
      <w:r>
        <w:t xml:space="preserve"> kod </w:t>
      </w:r>
      <w:r w:rsidR="00EE7156">
        <w:t>migracije</w:t>
      </w:r>
      <w:r>
        <w:t>. 4 zemlje (Francuska, Španjolska, Malta</w:t>
      </w:r>
      <w:r w:rsidR="00EE7156">
        <w:t>,</w:t>
      </w:r>
      <w:r>
        <w:t xml:space="preserve"> Slovenija)</w:t>
      </w:r>
      <w:r w:rsidR="00EE7156">
        <w:t xml:space="preserve"> </w:t>
      </w:r>
      <w:r>
        <w:t xml:space="preserve">su </w:t>
      </w:r>
      <w:r w:rsidR="00EE7156">
        <w:t>naglasile</w:t>
      </w:r>
      <w:r>
        <w:t xml:space="preserve"> potrebu dostupnosti alternativnih usl</w:t>
      </w:r>
      <w:r w:rsidR="00EE7156">
        <w:t>ug</w:t>
      </w:r>
      <w:r>
        <w:t>a</w:t>
      </w:r>
      <w:r w:rsidR="00EE7156">
        <w:t xml:space="preserve"> </w:t>
      </w:r>
      <w:r>
        <w:t xml:space="preserve">prije </w:t>
      </w:r>
      <w:r w:rsidR="00DF1F64">
        <w:t>s</w:t>
      </w:r>
      <w:r w:rsidR="00EE7156">
        <w:t>a</w:t>
      </w:r>
      <w:r>
        <w:t>mog gašenja</w:t>
      </w:r>
      <w:r w:rsidR="00DF1F64">
        <w:t>. Jedna zemlja (Portugal</w:t>
      </w:r>
      <w:r w:rsidR="003870ED">
        <w:t>)</w:t>
      </w:r>
      <w:r w:rsidR="00DF1F64">
        <w:t xml:space="preserve"> je potvrdila da je </w:t>
      </w:r>
      <w:r w:rsidR="00EE7156">
        <w:t xml:space="preserve">migracijski postupak vodio SMP </w:t>
      </w:r>
      <w:r w:rsidR="003870ED">
        <w:t>operator</w:t>
      </w:r>
      <w:r w:rsidR="00EE7156">
        <w:t xml:space="preserve"> bez </w:t>
      </w:r>
      <w:r w:rsidR="003870ED">
        <w:t>potrebe</w:t>
      </w:r>
      <w:r w:rsidR="00EE7156">
        <w:t xml:space="preserve"> za intervencijom regulatora. Istovremeno, mađarski </w:t>
      </w:r>
      <w:r w:rsidR="003870ED">
        <w:t>regulator</w:t>
      </w:r>
      <w:r w:rsidR="00EE7156">
        <w:t xml:space="preserve"> je mišljenja da su upravo regulirane migracijske </w:t>
      </w:r>
      <w:r w:rsidR="003870ED">
        <w:t>procedure</w:t>
      </w:r>
      <w:r w:rsidR="00EE7156">
        <w:t xml:space="preserve"> bile </w:t>
      </w:r>
      <w:r w:rsidR="003870ED">
        <w:t>potrebne</w:t>
      </w:r>
      <w:r w:rsidR="00EE7156">
        <w:t xml:space="preserve"> kako bi se sam migracijski </w:t>
      </w:r>
      <w:r w:rsidR="003870ED">
        <w:t>postupak</w:t>
      </w:r>
      <w:r w:rsidR="00EE7156">
        <w:t xml:space="preserve"> odvijao bez problema. </w:t>
      </w:r>
      <w:r w:rsidR="00DF1F64">
        <w:t xml:space="preserve"> </w:t>
      </w:r>
    </w:p>
    <w:p w14:paraId="069889EE" w14:textId="77777777" w:rsidR="00941B6E" w:rsidRPr="00941B6E" w:rsidRDefault="00941B6E" w:rsidP="00941B6E">
      <w:pPr>
        <w:pStyle w:val="ListParagraph"/>
        <w:numPr>
          <w:ilvl w:val="0"/>
          <w:numId w:val="31"/>
        </w:numPr>
        <w:spacing w:before="400"/>
        <w:contextualSpacing w:val="0"/>
        <w:jc w:val="both"/>
        <w:outlineLvl w:val="0"/>
        <w:rPr>
          <w:b/>
          <w:vanish/>
          <w:sz w:val="36"/>
        </w:rPr>
      </w:pPr>
      <w:bookmarkStart w:id="26" w:name="_Toc239944253"/>
      <w:bookmarkEnd w:id="26"/>
    </w:p>
    <w:p w14:paraId="28CFE183" w14:textId="77777777" w:rsidR="00941B6E" w:rsidRPr="00941B6E" w:rsidRDefault="00941B6E" w:rsidP="00941B6E">
      <w:pPr>
        <w:pStyle w:val="ListParagraph"/>
        <w:numPr>
          <w:ilvl w:val="0"/>
          <w:numId w:val="31"/>
        </w:numPr>
        <w:spacing w:before="400"/>
        <w:contextualSpacing w:val="0"/>
        <w:jc w:val="both"/>
        <w:outlineLvl w:val="0"/>
        <w:rPr>
          <w:b/>
          <w:vanish/>
          <w:sz w:val="36"/>
        </w:rPr>
      </w:pPr>
      <w:bookmarkStart w:id="27" w:name="_Toc239944254"/>
      <w:bookmarkEnd w:id="27"/>
    </w:p>
    <w:p w14:paraId="28532A3C" w14:textId="77777777" w:rsidR="00941B6E" w:rsidRPr="00941B6E" w:rsidRDefault="00941B6E" w:rsidP="00941B6E">
      <w:pPr>
        <w:pStyle w:val="ListParagraph"/>
        <w:numPr>
          <w:ilvl w:val="0"/>
          <w:numId w:val="31"/>
        </w:numPr>
        <w:spacing w:before="400"/>
        <w:contextualSpacing w:val="0"/>
        <w:jc w:val="both"/>
        <w:outlineLvl w:val="0"/>
        <w:rPr>
          <w:b/>
          <w:vanish/>
          <w:sz w:val="36"/>
        </w:rPr>
      </w:pPr>
      <w:bookmarkStart w:id="28" w:name="_Toc239944255"/>
      <w:bookmarkEnd w:id="28"/>
    </w:p>
    <w:p w14:paraId="47832CF8" w14:textId="4A0B2339" w:rsidR="00924DE9" w:rsidRDefault="00924DE9" w:rsidP="00E80AB7">
      <w:pPr>
        <w:pStyle w:val="Podnaslovpoglavlja1"/>
      </w:pPr>
      <w:bookmarkStart w:id="29" w:name="_Toc239944256"/>
      <w:r w:rsidRPr="00503738">
        <w:t>Implikacije europske prakse za hrvatski model</w:t>
      </w:r>
      <w:bookmarkEnd w:id="29"/>
    </w:p>
    <w:p w14:paraId="0E60F8F8" w14:textId="77777777" w:rsidR="00924DE9" w:rsidRPr="00B56D08" w:rsidRDefault="00924DE9" w:rsidP="00924DE9">
      <w:pPr>
        <w:pStyle w:val="Osnovnifont"/>
        <w:spacing w:after="120"/>
      </w:pPr>
      <w:r w:rsidRPr="00B56D08">
        <w:t xml:space="preserve">Iako europska praksa ostavlja regulatorima određenu slobodu kod određivanja uvjeta i rokova gašenja bakrene mreže, iz iste se mogu izvući </w:t>
      </w:r>
      <w:r>
        <w:t xml:space="preserve">sljedeći </w:t>
      </w:r>
      <w:r w:rsidRPr="00B56D08">
        <w:t xml:space="preserve">zaključci: </w:t>
      </w:r>
    </w:p>
    <w:p w14:paraId="393BF186" w14:textId="77777777" w:rsidR="00924DE9" w:rsidRPr="00B56D08" w:rsidRDefault="00924DE9" w:rsidP="00924DE9">
      <w:pPr>
        <w:pStyle w:val="Osnovnifont"/>
        <w:numPr>
          <w:ilvl w:val="0"/>
          <w:numId w:val="34"/>
        </w:numPr>
      </w:pPr>
      <w:r w:rsidRPr="00B56D08">
        <w:t>složenije veleprodajne migracije opravdavaju dulje rokove</w:t>
      </w:r>
    </w:p>
    <w:p w14:paraId="4BAD7AB2" w14:textId="77777777" w:rsidR="00924DE9" w:rsidRPr="00B56D08" w:rsidRDefault="00924DE9" w:rsidP="00924DE9">
      <w:pPr>
        <w:pStyle w:val="Osnovnifont"/>
        <w:numPr>
          <w:ilvl w:val="0"/>
          <w:numId w:val="34"/>
        </w:numPr>
      </w:pPr>
      <w:r w:rsidRPr="00B56D08">
        <w:t>zamjenski proizvod mora biti dostupan prije povlačenja postojećeg pristupa</w:t>
      </w:r>
    </w:p>
    <w:p w14:paraId="5948D069" w14:textId="77777777" w:rsidR="00924DE9" w:rsidRPr="00B56D08" w:rsidRDefault="00924DE9" w:rsidP="00924DE9">
      <w:pPr>
        <w:pStyle w:val="Osnovnifont"/>
        <w:numPr>
          <w:ilvl w:val="0"/>
          <w:numId w:val="34"/>
        </w:numPr>
      </w:pPr>
      <w:r w:rsidRPr="00B56D08">
        <w:t>prestanak prodaje postojećih usluga može biti koristan prijelazni korak</w:t>
      </w:r>
    </w:p>
    <w:p w14:paraId="59702C80" w14:textId="41821900" w:rsidR="00924DE9" w:rsidRDefault="00924DE9" w:rsidP="00924DE9">
      <w:pPr>
        <w:pStyle w:val="Osnovnifont"/>
        <w:numPr>
          <w:ilvl w:val="0"/>
          <w:numId w:val="34"/>
        </w:numPr>
      </w:pPr>
      <w:r w:rsidRPr="00B56D08">
        <w:t>u slučajevima bez korisničkog i tržišnog rizika postupak može biti jednostavniji</w:t>
      </w:r>
    </w:p>
    <w:p w14:paraId="49C3C7AE" w14:textId="3F681AF8" w:rsidR="004F3B49" w:rsidRDefault="00924DE9" w:rsidP="00E80AB7">
      <w:pPr>
        <w:pStyle w:val="Osnovnifont"/>
        <w:numPr>
          <w:ilvl w:val="0"/>
          <w:numId w:val="34"/>
        </w:numPr>
        <w:spacing w:after="120"/>
      </w:pPr>
      <w:r w:rsidRPr="00B56D08">
        <w:t>regulatorna intervencija treba biti razmjerna riziku konkretnog slučaja</w:t>
      </w:r>
      <w:r w:rsidR="00DF1F64">
        <w:t xml:space="preserve">                                                                                                                                                                                                                                                                                                 </w:t>
      </w:r>
    </w:p>
    <w:p w14:paraId="3AF07843" w14:textId="03499836" w:rsidR="00C63D3B" w:rsidRDefault="00996549" w:rsidP="00C63D3B">
      <w:pPr>
        <w:pStyle w:val="Osnovnifont"/>
        <w:spacing w:after="120"/>
      </w:pPr>
      <w:r>
        <w:t>Zaključno, i</w:t>
      </w:r>
      <w:r w:rsidR="00C63D3B">
        <w:t xml:space="preserve">z pregleda praksa europskih zemalja vidljivo je da postoji velika raznolikost u stupnju dovršenosti procesa gašenja bakrene mreže i uvjetima gašenja. Znakovito je ipak da je u 12 zemalja taj proces započeo. </w:t>
      </w:r>
      <w:r w:rsidR="00C326A0" w:rsidRPr="00090ED4">
        <w:t>Isto tako, iz analiziranih podataka vidljivo je da od 14 zemalja u kojima trenutno postoje planovi za gašenje bakrene</w:t>
      </w:r>
      <w:r w:rsidR="00225F07">
        <w:t>,</w:t>
      </w:r>
      <w:r w:rsidR="00C326A0" w:rsidRPr="00090ED4">
        <w:t xml:space="preserve"> mreže regulator odobrava plan gašenja u samo dvije zemlje.</w:t>
      </w:r>
      <w:r w:rsidR="00C63D3B">
        <w:t xml:space="preserve"> Također, vidljiva je raznolikost u rokovima za obavješćivanje, koji se kreću od 1, 2, 3 i 6 mjeseci odnosno 1, 2, 3 i 5 godina.</w:t>
      </w:r>
    </w:p>
    <w:p w14:paraId="6A4D5E98" w14:textId="2B9D3989" w:rsidR="009866EF" w:rsidRPr="00B56D08" w:rsidRDefault="00C63D3B" w:rsidP="00E80AB7">
      <w:pPr>
        <w:pStyle w:val="Osnovnifont"/>
        <w:spacing w:after="120"/>
      </w:pPr>
      <w:r>
        <w:t>Slijedom analiziranog, potrebno je proces i uv</w:t>
      </w:r>
      <w:r w:rsidR="0002610D">
        <w:t>jete gašenja bakrenih mreža u Republici Hrvatskoj</w:t>
      </w:r>
      <w:r>
        <w:t xml:space="preserve"> pažljivo postaviti kako bi se uzele u obzir sve raznolikosti odnosno sličnosti hrvatskog tržišta s tržišt</w:t>
      </w:r>
      <w:r w:rsidR="000F3B71">
        <w:t>ima europskih zemalja</w:t>
      </w:r>
      <w:r>
        <w:t xml:space="preserve">, te na taj način dobili regulatorni okvir koji će osiguravati održivo tržišno natjecanje i zaštitu korisnika </w:t>
      </w:r>
      <w:r w:rsidR="000F3B71">
        <w:t>u Republici Hrvatskoj</w:t>
      </w:r>
      <w:r>
        <w:t>.</w:t>
      </w:r>
      <w:r w:rsidR="009866EF" w:rsidRPr="00B56D08">
        <w:br w:type="page"/>
      </w:r>
    </w:p>
    <w:p w14:paraId="4964235C" w14:textId="4AACFCE3" w:rsidR="007060F2" w:rsidRDefault="00FB08C4" w:rsidP="007060F2">
      <w:pPr>
        <w:pStyle w:val="Nazivpoglavlja"/>
        <w:numPr>
          <w:ilvl w:val="0"/>
          <w:numId w:val="3"/>
        </w:numPr>
      </w:pPr>
      <w:r w:rsidRPr="00FB08C4">
        <w:lastRenderedPageBreak/>
        <w:t xml:space="preserve"> </w:t>
      </w:r>
      <w:bookmarkStart w:id="30" w:name="_Toc231976454"/>
      <w:bookmarkStart w:id="31" w:name="_Toc239944257"/>
      <w:r w:rsidR="00433C40">
        <w:t>P</w:t>
      </w:r>
      <w:r w:rsidR="007060F2">
        <w:t>ostupanj</w:t>
      </w:r>
      <w:r w:rsidR="00433C40">
        <w:t>e</w:t>
      </w:r>
      <w:r w:rsidR="007060F2">
        <w:t xml:space="preserve"> </w:t>
      </w:r>
      <w:r w:rsidR="007060F2" w:rsidRPr="00AA67F5">
        <w:t>pri gašenju bakrene mreže</w:t>
      </w:r>
      <w:bookmarkEnd w:id="30"/>
      <w:bookmarkEnd w:id="31"/>
    </w:p>
    <w:p w14:paraId="717C4438" w14:textId="50ABF39D" w:rsidR="00AA67F5" w:rsidRDefault="003E233A" w:rsidP="00E53BAB">
      <w:pPr>
        <w:pStyle w:val="Osnovnifont"/>
        <w:spacing w:after="120"/>
      </w:pPr>
      <w:r w:rsidRPr="003E233A">
        <w:t>Operator, za potrebe ovih Smjernica, jest operator na kojeg se primjenj</w:t>
      </w:r>
      <w:r>
        <w:t>uje članak 114. stavak 1. ZEK-a</w:t>
      </w:r>
      <w:r w:rsidRPr="003E233A">
        <w:t>.</w:t>
      </w:r>
      <w:r>
        <w:t xml:space="preserve"> </w:t>
      </w:r>
      <w:r w:rsidR="00AA67F5">
        <w:t xml:space="preserve">Pri provedbi postupka gašenja bakrene pristupne mreže </w:t>
      </w:r>
      <w:r w:rsidR="00D82B39">
        <w:t xml:space="preserve">Operator </w:t>
      </w:r>
      <w:r w:rsidR="00AA67F5">
        <w:t>je obvezan postupati na način kojim se osigurava kontinuitet elektroničkih komunikacijskih usluga, zaštita prava krajnjih korisnika te očuvanje djelotvornog tržišnog natjecanja.</w:t>
      </w:r>
    </w:p>
    <w:p w14:paraId="35EE89F5" w14:textId="6251196E" w:rsidR="00AA67F5" w:rsidRDefault="00AA67F5" w:rsidP="00E53BAB">
      <w:pPr>
        <w:pStyle w:val="Osnovnifont"/>
        <w:spacing w:after="120"/>
      </w:pPr>
      <w:r>
        <w:t>Postupak migracije korisnika i gašenja bakrene mreže mora biti transparentan, predvidljiv i razmjeran, uz uvažavanje tehničkih i tržišnih okolnosti pojedinog područja.</w:t>
      </w:r>
      <w:r w:rsidR="00E53BAB">
        <w:t xml:space="preserve"> </w:t>
      </w:r>
      <w:r w:rsidR="00D925A2">
        <w:t>Po</w:t>
      </w:r>
      <w:r w:rsidR="00D925A2" w:rsidRPr="00D925A2">
        <w:t>stupak se u pravilu provodi kroz jasno definirane faze koje omogućuju postupno prilagođavanje korisnika i operatora prije konačnog gašenja pojedinih dijelova mreže.</w:t>
      </w:r>
      <w:r w:rsidR="00D925A2">
        <w:t xml:space="preserve"> </w:t>
      </w:r>
      <w:r>
        <w:t>Pri ocjeni primjerenosti postupka prelaska iz članka 114. ZEK-a HAKOM će osobito uzimati u obzir:</w:t>
      </w:r>
    </w:p>
    <w:p w14:paraId="0358E17F" w14:textId="0F56CA59" w:rsidR="00AA67F5" w:rsidRDefault="00AA67F5" w:rsidP="00E53BAB">
      <w:pPr>
        <w:pStyle w:val="Osnovnifont"/>
        <w:numPr>
          <w:ilvl w:val="0"/>
          <w:numId w:val="6"/>
        </w:numPr>
      </w:pPr>
      <w:r>
        <w:t>pravodobnost i transparentnost obavještavanja HAKOM-a, operatora korisnika</w:t>
      </w:r>
      <w:r w:rsidR="0041477A">
        <w:t xml:space="preserve"> veleprodajnih usluga</w:t>
      </w:r>
      <w:r>
        <w:t xml:space="preserve"> i krajnjih korisnika,</w:t>
      </w:r>
    </w:p>
    <w:p w14:paraId="03CF783E" w14:textId="29886FF0" w:rsidR="00AA67F5" w:rsidRDefault="001C5F9B" w:rsidP="001C5F9B">
      <w:pPr>
        <w:pStyle w:val="Osnovnifont"/>
        <w:numPr>
          <w:ilvl w:val="0"/>
          <w:numId w:val="6"/>
        </w:numPr>
      </w:pPr>
      <w:r w:rsidRPr="001C5F9B">
        <w:t>dostupnost funkcionalno usporedivih zamjenskih usluga</w:t>
      </w:r>
      <w:r w:rsidR="00AA67F5">
        <w:t>,</w:t>
      </w:r>
    </w:p>
    <w:p w14:paraId="668917B0" w14:textId="77777777" w:rsidR="00AA67F5" w:rsidRDefault="00AA67F5" w:rsidP="00E53BAB">
      <w:pPr>
        <w:pStyle w:val="Osnovnifont"/>
        <w:numPr>
          <w:ilvl w:val="0"/>
          <w:numId w:val="6"/>
        </w:numPr>
      </w:pPr>
      <w:r>
        <w:t>zaštitu postojećih veleprodajnih odnosa,</w:t>
      </w:r>
    </w:p>
    <w:p w14:paraId="2F38BD08" w14:textId="4370E69F" w:rsidR="00AA67F5" w:rsidRDefault="00AA67F5" w:rsidP="001C5F9B">
      <w:pPr>
        <w:pStyle w:val="Osnovnifont"/>
        <w:numPr>
          <w:ilvl w:val="0"/>
          <w:numId w:val="6"/>
        </w:numPr>
      </w:pPr>
      <w:r>
        <w:t>osiguravanje kontinuiteta pružanja usluga bez neopravdanog prekida,</w:t>
      </w:r>
    </w:p>
    <w:p w14:paraId="2EB89BD2" w14:textId="72CBC8D9" w:rsidR="00AA67F5" w:rsidRDefault="00AA67F5" w:rsidP="000C1207">
      <w:pPr>
        <w:pStyle w:val="Osnovnifont"/>
        <w:numPr>
          <w:ilvl w:val="0"/>
          <w:numId w:val="6"/>
        </w:numPr>
        <w:spacing w:after="120"/>
        <w:ind w:left="714" w:hanging="357"/>
        <w:contextualSpacing/>
      </w:pPr>
      <w:r>
        <w:t>specifičnosti pojed</w:t>
      </w:r>
      <w:r w:rsidR="000C1207">
        <w:t>inog područja i korisničke baze,</w:t>
      </w:r>
    </w:p>
    <w:p w14:paraId="0EE52BEA" w14:textId="3016D2C8" w:rsidR="000C1207" w:rsidRDefault="001C5F9B" w:rsidP="00424C6A">
      <w:pPr>
        <w:pStyle w:val="Osnovnifont"/>
        <w:numPr>
          <w:ilvl w:val="0"/>
          <w:numId w:val="6"/>
        </w:numPr>
        <w:ind w:left="714" w:hanging="357"/>
      </w:pPr>
      <w:r w:rsidRPr="001C5F9B">
        <w:t>primjerenost rokova i načina provedbe migracije korisnika</w:t>
      </w:r>
      <w:r w:rsidR="00424C6A">
        <w:t>,</w:t>
      </w:r>
    </w:p>
    <w:p w14:paraId="4945926A" w14:textId="6FAD9C8F" w:rsidR="00424C6A" w:rsidRPr="009878E2" w:rsidRDefault="007A6823" w:rsidP="007A6823">
      <w:pPr>
        <w:pStyle w:val="Osnovnifont"/>
        <w:numPr>
          <w:ilvl w:val="0"/>
          <w:numId w:val="6"/>
        </w:numPr>
        <w:spacing w:after="120"/>
      </w:pPr>
      <w:r w:rsidRPr="007A6823">
        <w:t>utjecaj predloženih troškovnih uvjeta migracije na mogućnost prijelaza korisnika, djelotvorno tržišno natjecanje i zaštitu prava krajnjih korisnika</w:t>
      </w:r>
      <w:r w:rsidR="00424C6A" w:rsidRPr="009878E2">
        <w:t>.</w:t>
      </w:r>
    </w:p>
    <w:p w14:paraId="5B09A4BA" w14:textId="4EB54655" w:rsidR="00424C6A" w:rsidRDefault="00424C6A" w:rsidP="00424C6A">
      <w:pPr>
        <w:pStyle w:val="Osnovnifont"/>
        <w:spacing w:after="120"/>
      </w:pPr>
      <w:r w:rsidRPr="009878E2">
        <w:t xml:space="preserve">Pri ocjeni primjerenosti postupka prelaska HAKOM </w:t>
      </w:r>
      <w:r w:rsidR="007A6823">
        <w:t>će</w:t>
      </w:r>
      <w:r w:rsidR="007A6823" w:rsidRPr="009878E2">
        <w:t xml:space="preserve"> </w:t>
      </w:r>
      <w:r w:rsidRPr="009878E2">
        <w:t xml:space="preserve">uzeti u obzir </w:t>
      </w:r>
      <w:r w:rsidR="007A6823" w:rsidRPr="007A6823">
        <w:t>mogu li predloženi troškovni uvjeti migracije predstavljati neopravdanu prepreku migraciji, dovesti do diskriminacije ili ugroziti djelotvorno tržišno natjecanje. Pitanje nositelja pojedinih troškova ocjenjuje se u okviru primjenjivih regulatornih obveza, ugovornih odnosa i dr</w:t>
      </w:r>
      <w:r w:rsidR="007A6823">
        <w:t>ugih relevantnih pravnih osnova</w:t>
      </w:r>
      <w:r w:rsidRPr="009878E2">
        <w:t>. Takvi troškovi mogu uključivati troškove migracije korisnika, prilagodbe mreže i sustava te troškove povezane sa stavljanjem izvan uporabe ili uklanjanjem dijelova bakrene mreže.</w:t>
      </w:r>
    </w:p>
    <w:p w14:paraId="68A6BBA1" w14:textId="63AC10B4" w:rsidR="00373F08" w:rsidRDefault="00E05EF9" w:rsidP="007D7161">
      <w:pPr>
        <w:pStyle w:val="Osnovnifont"/>
        <w:spacing w:after="120"/>
      </w:pPr>
      <w:r w:rsidRPr="00E05EF9">
        <w:t xml:space="preserve">Operator je u svim slučajevima obvezan HAKOM-u </w:t>
      </w:r>
      <w:r w:rsidR="00773730" w:rsidRPr="00CC085E">
        <w:t xml:space="preserve">unaprijed i pravodobno </w:t>
      </w:r>
      <w:r w:rsidRPr="00E05EF9">
        <w:t>dostaviti obavijest o planiranom gašenju dijela bakrene mreže koja najmanje sadrži sljedeće podatke:</w:t>
      </w:r>
    </w:p>
    <w:p w14:paraId="4BC9BF41" w14:textId="497C9EE5" w:rsidR="00E05EF9" w:rsidRPr="00E05EF9" w:rsidRDefault="00E05EF9" w:rsidP="00E05EF9">
      <w:pPr>
        <w:pStyle w:val="Osnovnifont"/>
        <w:numPr>
          <w:ilvl w:val="0"/>
          <w:numId w:val="11"/>
        </w:numPr>
        <w:rPr>
          <w:color w:val="auto"/>
        </w:rPr>
      </w:pPr>
      <w:r w:rsidRPr="00CD6C69">
        <w:rPr>
          <w:color w:val="auto"/>
        </w:rPr>
        <w:t>obrazloženje razloga gašenja dijela bakrene mreže</w:t>
      </w:r>
      <w:r>
        <w:rPr>
          <w:color w:val="auto"/>
        </w:rPr>
        <w:t>,</w:t>
      </w:r>
    </w:p>
    <w:p w14:paraId="15BAEED7" w14:textId="77777777" w:rsidR="00E05EF9" w:rsidRPr="00CD6C69" w:rsidRDefault="00E05EF9" w:rsidP="00E05EF9">
      <w:pPr>
        <w:pStyle w:val="Osnovnifont"/>
        <w:numPr>
          <w:ilvl w:val="0"/>
          <w:numId w:val="11"/>
        </w:numPr>
        <w:rPr>
          <w:color w:val="auto"/>
        </w:rPr>
      </w:pPr>
      <w:r w:rsidRPr="00CD6C69">
        <w:rPr>
          <w:color w:val="auto"/>
        </w:rPr>
        <w:t>podatke o području koje je obuhvaćeno planiranim gašenjem, uključujući:</w:t>
      </w:r>
    </w:p>
    <w:p w14:paraId="4C74B8E6" w14:textId="1AD58466" w:rsidR="00E05EF9" w:rsidRPr="006B5A9B" w:rsidRDefault="00E05EF9" w:rsidP="006B5A9B">
      <w:pPr>
        <w:pStyle w:val="Osnovnifont"/>
        <w:numPr>
          <w:ilvl w:val="1"/>
          <w:numId w:val="11"/>
        </w:numPr>
        <w:rPr>
          <w:color w:val="auto"/>
        </w:rPr>
      </w:pPr>
      <w:r w:rsidRPr="00CD6C69">
        <w:rPr>
          <w:color w:val="auto"/>
        </w:rPr>
        <w:t>grafički prikaz područja gašenja</w:t>
      </w:r>
      <w:r>
        <w:rPr>
          <w:color w:val="auto"/>
        </w:rPr>
        <w:t xml:space="preserve"> i pripadajućeg MDF područja, ako je primjenjivo,</w:t>
      </w:r>
    </w:p>
    <w:p w14:paraId="34E63070" w14:textId="7EF97684" w:rsidR="00E05EF9" w:rsidRPr="00CD6C69" w:rsidRDefault="00E05EF9" w:rsidP="00E05EF9">
      <w:pPr>
        <w:pStyle w:val="Osnovnifont"/>
        <w:numPr>
          <w:ilvl w:val="1"/>
          <w:numId w:val="11"/>
        </w:numPr>
        <w:rPr>
          <w:color w:val="auto"/>
        </w:rPr>
      </w:pPr>
      <w:r w:rsidRPr="00CD6C69">
        <w:rPr>
          <w:color w:val="auto"/>
        </w:rPr>
        <w:t>p</w:t>
      </w:r>
      <w:r w:rsidR="006B5A9B">
        <w:rPr>
          <w:color w:val="auto"/>
        </w:rPr>
        <w:t>odatak o</w:t>
      </w:r>
      <w:r w:rsidRPr="00CD6C69">
        <w:rPr>
          <w:color w:val="auto"/>
        </w:rPr>
        <w:t xml:space="preserve"> broj</w:t>
      </w:r>
      <w:r w:rsidR="006B5A9B">
        <w:rPr>
          <w:color w:val="auto"/>
        </w:rPr>
        <w:t>u</w:t>
      </w:r>
      <w:r w:rsidRPr="00CD6C69">
        <w:rPr>
          <w:color w:val="auto"/>
        </w:rPr>
        <w:t xml:space="preserve"> korisničkih jedinica (</w:t>
      </w:r>
      <w:r w:rsidRPr="00815B36">
        <w:rPr>
          <w:color w:val="auto"/>
          <w:lang w:val="en-US"/>
        </w:rPr>
        <w:t>home passed</w:t>
      </w:r>
      <w:r w:rsidRPr="00CD6C69">
        <w:rPr>
          <w:color w:val="auto"/>
        </w:rPr>
        <w:t xml:space="preserve">) obuhvaćenih </w:t>
      </w:r>
      <w:r w:rsidR="006B5A9B">
        <w:rPr>
          <w:color w:val="auto"/>
        </w:rPr>
        <w:t xml:space="preserve">područjem </w:t>
      </w:r>
      <w:r w:rsidRPr="00CD6C69">
        <w:rPr>
          <w:color w:val="auto"/>
        </w:rPr>
        <w:t>gašenj</w:t>
      </w:r>
      <w:r w:rsidR="006B5A9B">
        <w:rPr>
          <w:color w:val="auto"/>
        </w:rPr>
        <w:t>a</w:t>
      </w:r>
      <w:r>
        <w:rPr>
          <w:color w:val="auto"/>
        </w:rPr>
        <w:t>,</w:t>
      </w:r>
    </w:p>
    <w:p w14:paraId="7DDD0D34" w14:textId="1B58144E" w:rsidR="00E05EF9" w:rsidRPr="00CD6C69" w:rsidRDefault="00E05EF9" w:rsidP="00E05EF9">
      <w:pPr>
        <w:pStyle w:val="Osnovnifont"/>
        <w:numPr>
          <w:ilvl w:val="1"/>
          <w:numId w:val="11"/>
        </w:numPr>
        <w:rPr>
          <w:color w:val="auto"/>
        </w:rPr>
      </w:pPr>
      <w:r w:rsidRPr="00CD6C69">
        <w:rPr>
          <w:color w:val="auto"/>
        </w:rPr>
        <w:t xml:space="preserve">podatke o duljini mreže koja se gasi, razvrstano </w:t>
      </w:r>
      <w:r w:rsidR="002D3588">
        <w:rPr>
          <w:color w:val="auto"/>
        </w:rPr>
        <w:t xml:space="preserve">prema vrsti </w:t>
      </w:r>
      <w:r w:rsidR="00B56683">
        <w:rPr>
          <w:color w:val="auto"/>
        </w:rPr>
        <w:t>mreže (zračna ili podzemna)</w:t>
      </w:r>
      <w:r>
        <w:rPr>
          <w:color w:val="auto"/>
        </w:rPr>
        <w:t>,</w:t>
      </w:r>
    </w:p>
    <w:p w14:paraId="7D1E0665" w14:textId="544E60DB" w:rsidR="001F3FFA" w:rsidRDefault="001F3FFA" w:rsidP="001F3FFA">
      <w:pPr>
        <w:pStyle w:val="Osnovnifont"/>
        <w:numPr>
          <w:ilvl w:val="0"/>
          <w:numId w:val="15"/>
        </w:numPr>
        <w:rPr>
          <w:color w:val="auto"/>
        </w:rPr>
      </w:pPr>
      <w:r w:rsidRPr="001F3FFA">
        <w:rPr>
          <w:color w:val="auto"/>
        </w:rPr>
        <w:t>podatke o vrstama usluga koje se pružaju na predmetnom području,</w:t>
      </w:r>
    </w:p>
    <w:p w14:paraId="00F9BC95" w14:textId="6EE36B52" w:rsidR="00E05EF9" w:rsidRDefault="00E05EF9" w:rsidP="00E05EF9">
      <w:pPr>
        <w:pStyle w:val="Osnovnifont"/>
        <w:numPr>
          <w:ilvl w:val="0"/>
          <w:numId w:val="15"/>
        </w:numPr>
        <w:rPr>
          <w:color w:val="auto"/>
        </w:rPr>
      </w:pPr>
      <w:r w:rsidRPr="00CD6C69">
        <w:rPr>
          <w:color w:val="auto"/>
        </w:rPr>
        <w:t>informacije o dostupn</w:t>
      </w:r>
      <w:r w:rsidR="001F3FFA">
        <w:rPr>
          <w:color w:val="auto"/>
        </w:rPr>
        <w:t>im</w:t>
      </w:r>
      <w:r w:rsidRPr="00CD6C69">
        <w:rPr>
          <w:color w:val="auto"/>
        </w:rPr>
        <w:t xml:space="preserve"> zamjenski</w:t>
      </w:r>
      <w:r w:rsidR="001F3FFA">
        <w:rPr>
          <w:color w:val="auto"/>
        </w:rPr>
        <w:t>m tehnologijama i uslugama</w:t>
      </w:r>
      <w:r>
        <w:rPr>
          <w:color w:val="auto"/>
        </w:rPr>
        <w:t xml:space="preserve"> </w:t>
      </w:r>
      <w:r w:rsidRPr="00CD6C69">
        <w:rPr>
          <w:color w:val="auto"/>
        </w:rPr>
        <w:t>na predmetnom području</w:t>
      </w:r>
      <w:r>
        <w:rPr>
          <w:color w:val="auto"/>
        </w:rPr>
        <w:t>,</w:t>
      </w:r>
    </w:p>
    <w:p w14:paraId="24507FE6" w14:textId="5125A11E" w:rsidR="00E05EF9" w:rsidRDefault="00E05EF9" w:rsidP="00E05EF9">
      <w:pPr>
        <w:pStyle w:val="Osnovnifont"/>
        <w:numPr>
          <w:ilvl w:val="0"/>
          <w:numId w:val="15"/>
        </w:numPr>
        <w:rPr>
          <w:color w:val="auto"/>
        </w:rPr>
      </w:pPr>
      <w:r w:rsidRPr="00CD6C69">
        <w:rPr>
          <w:color w:val="auto"/>
        </w:rPr>
        <w:t xml:space="preserve">planirani datum </w:t>
      </w:r>
      <w:r w:rsidR="00E5146B">
        <w:rPr>
          <w:color w:val="auto"/>
        </w:rPr>
        <w:t xml:space="preserve">početka </w:t>
      </w:r>
      <w:r w:rsidRPr="00CD6C69">
        <w:rPr>
          <w:color w:val="auto"/>
        </w:rPr>
        <w:t>gašenja predmetnog dijela mreže</w:t>
      </w:r>
      <w:r>
        <w:rPr>
          <w:color w:val="auto"/>
        </w:rPr>
        <w:t>,</w:t>
      </w:r>
    </w:p>
    <w:p w14:paraId="1BC4186A" w14:textId="5001D3D8" w:rsidR="00373F08" w:rsidRPr="001F3FFA" w:rsidRDefault="00E05EF9" w:rsidP="001F3FFA">
      <w:pPr>
        <w:pStyle w:val="Osnovnifont"/>
        <w:numPr>
          <w:ilvl w:val="0"/>
          <w:numId w:val="15"/>
        </w:numPr>
        <w:spacing w:after="120"/>
      </w:pPr>
      <w:r w:rsidRPr="00CD6C69">
        <w:rPr>
          <w:color w:val="auto"/>
        </w:rPr>
        <w:t xml:space="preserve">informacije o planiranom uklanjanju ili stavljanju izvan uporabe nekorištenih dijelova </w:t>
      </w:r>
      <w:r w:rsidR="00712F9F">
        <w:rPr>
          <w:color w:val="auto"/>
        </w:rPr>
        <w:t xml:space="preserve">bakrene </w:t>
      </w:r>
      <w:r w:rsidRPr="00CD6C69">
        <w:rPr>
          <w:color w:val="auto"/>
        </w:rPr>
        <w:t>mreže nakon provedbe gašenja.</w:t>
      </w:r>
    </w:p>
    <w:p w14:paraId="4329A08D" w14:textId="77777777" w:rsidR="00E5146B" w:rsidRDefault="00E5146B" w:rsidP="001F3FFA">
      <w:pPr>
        <w:pStyle w:val="Osnovnifont"/>
        <w:spacing w:after="120"/>
      </w:pPr>
      <w:r w:rsidRPr="00E5146B">
        <w:t xml:space="preserve">Za potrebe ovih Smjernica, planirani datum početka gašenja označava datum od kojeg započinje trajni prestanak pružanja usluga putem predmetnog dijela bakrene mreže. Faze koje mogu prethoditi početku gašenja, poput prestanka prodaje postojećih usluga (stop-sell), početka migracije korisnika ili prestanka dostupnosti pojedinih veleprodajnih proizvoda, ne smatraju se </w:t>
      </w:r>
      <w:r w:rsidRPr="00E5146B">
        <w:lastRenderedPageBreak/>
        <w:t>početkom gašenja ako nije drukčije navedeno. Fizičko uklanjanje infrastrukture nakon gašenja ne smatra se dijelom početka gašenja u smislu ovih Smjernica.</w:t>
      </w:r>
    </w:p>
    <w:p w14:paraId="569452C6" w14:textId="405C8BFF" w:rsidR="001F3FFA" w:rsidRDefault="001F3FFA" w:rsidP="001F3FFA">
      <w:pPr>
        <w:pStyle w:val="Osnovnifont"/>
        <w:spacing w:after="120"/>
      </w:pPr>
      <w:r w:rsidRPr="001F3FFA">
        <w:t xml:space="preserve">Ovisno o specifičnostima pojedinog scenarija iz poglavlja 5. Smjernica, obavijest </w:t>
      </w:r>
      <w:r>
        <w:t xml:space="preserve">HAKOM-u </w:t>
      </w:r>
      <w:r w:rsidRPr="001F3FFA">
        <w:t>dodatno sadrži i druge podatke, uključujući podatke o krajnjim korisnicima, operatorima korisnicima veleprodajnih usluga, rokovima i planu migracije te uvjetima pružanja zamjenskih usluga.</w:t>
      </w:r>
    </w:p>
    <w:p w14:paraId="02747F5F" w14:textId="3B4DB37D" w:rsidR="007D7161" w:rsidRDefault="00184D59" w:rsidP="007D7161">
      <w:pPr>
        <w:pStyle w:val="Osnovnifont"/>
        <w:spacing w:after="120"/>
      </w:pPr>
      <w:r w:rsidRPr="00184D59">
        <w:t>Primjerenost zamjenske usluge HAKOM procjenjuje tehnološki neutralno, uzimajući u obzir objektivna svojstva mreže i usluge, uključujući funkcionalnu usporedivost, kvalitetu, kapacitet, pouzdanost, latenciju, funkcionalnosti, dostupnost, kontinuitet pružanja usluge, uv</w:t>
      </w:r>
      <w:r>
        <w:t>jete korištenja i cijenu usluge</w:t>
      </w:r>
      <w:r w:rsidR="007D7161">
        <w:t>.</w:t>
      </w:r>
    </w:p>
    <w:p w14:paraId="4F431BB7" w14:textId="1C173036" w:rsidR="007C53CC" w:rsidRDefault="007C53CC" w:rsidP="007D7161">
      <w:pPr>
        <w:pStyle w:val="Osnovnifont"/>
        <w:spacing w:after="120"/>
      </w:pPr>
      <w:r w:rsidRPr="007C53CC">
        <w:t>Kada se kao zamjena za postojeći veleprodajni proizvod predlaže novi veleprodajni proizvod, Operator treba omogućiti jasnu usporedbu postojećeg i zamjenskog proizvoda. HAKOM će pri ocjeni primjerenosti zamjenskog proizvoda osobito uzeti u obzir tehničke značajke, kvalitetu usluge, uvjete korištenja, cijene, način i mjesto predaje usluge, dostupnost zamjenskog proizvoda te postupak migracije.</w:t>
      </w:r>
    </w:p>
    <w:p w14:paraId="6C4F5A4C" w14:textId="146608BA" w:rsidR="00F25B08" w:rsidRDefault="007D7161" w:rsidP="00E53BAB">
      <w:pPr>
        <w:pStyle w:val="Osnovnifont"/>
        <w:spacing w:after="120"/>
      </w:pPr>
      <w:r>
        <w:t xml:space="preserve">U slučajevima kada je krajnjim korisnicima istovremeno dostupno više tehnologija koje omogućuju funkcionalno usporedivu uslugu, prednost će se u pravilu davati onoj tehnologiji koja osigurava višu i stabilniju razinu kvalitete usluge, uzimajući u obzir </w:t>
      </w:r>
      <w:r w:rsidR="00F25B08">
        <w:t>osobito sljedeće:</w:t>
      </w:r>
    </w:p>
    <w:p w14:paraId="1E0A1AC7" w14:textId="77777777" w:rsidR="00F25B08" w:rsidRDefault="00F25B08" w:rsidP="00F25B08">
      <w:pPr>
        <w:pStyle w:val="Osnovnifont"/>
        <w:numPr>
          <w:ilvl w:val="0"/>
          <w:numId w:val="33"/>
        </w:numPr>
        <w:spacing w:after="120"/>
        <w:ind w:left="714" w:hanging="357"/>
        <w:contextualSpacing/>
      </w:pPr>
      <w:r>
        <w:t>širinu pojasa,</w:t>
      </w:r>
    </w:p>
    <w:p w14:paraId="3C237005" w14:textId="77777777" w:rsidR="00F25B08" w:rsidRDefault="007D7161" w:rsidP="00F25B08">
      <w:pPr>
        <w:pStyle w:val="Osnovnifont"/>
        <w:numPr>
          <w:ilvl w:val="0"/>
          <w:numId w:val="33"/>
        </w:numPr>
        <w:spacing w:after="120"/>
        <w:ind w:left="714" w:hanging="357"/>
        <w:contextualSpacing/>
      </w:pPr>
      <w:r>
        <w:t>latenc</w:t>
      </w:r>
      <w:r w:rsidR="00F25B08">
        <w:t>iju,</w:t>
      </w:r>
    </w:p>
    <w:p w14:paraId="6B5D315F" w14:textId="77777777" w:rsidR="00F25B08" w:rsidRDefault="007D7161" w:rsidP="00F25B08">
      <w:pPr>
        <w:pStyle w:val="Osnovnifont"/>
        <w:numPr>
          <w:ilvl w:val="0"/>
          <w:numId w:val="33"/>
        </w:numPr>
        <w:spacing w:after="120"/>
        <w:ind w:left="714" w:hanging="357"/>
      </w:pPr>
      <w:r>
        <w:t>pouzdanost i m</w:t>
      </w:r>
      <w:r w:rsidR="00F25B08">
        <w:t>ogućnost simetričnih brzina.</w:t>
      </w:r>
    </w:p>
    <w:p w14:paraId="6FEA50A4" w14:textId="6732563B" w:rsidR="00357580" w:rsidRDefault="00A36032" w:rsidP="00F25B08">
      <w:pPr>
        <w:pStyle w:val="Osnovnifont"/>
        <w:spacing w:after="120"/>
      </w:pPr>
      <w:r w:rsidRPr="00A36032">
        <w:t>Svjetlovodna tehnologija jedan je od mogućih načina osiguravanja zamjenskih usluga te u praksi može omogućiti vrlo visoku razinu kvalitete, kapaciteta i dugoročne održivosti usluge. Primjerenost svakog zamjenskog rješenja procjenjuje se prema objektivnim svojstvima mreže i usluge, neovisno o korištenoj tehnologiji.</w:t>
      </w:r>
      <w:r w:rsidR="007D7161">
        <w:t xml:space="preserve"> </w:t>
      </w:r>
    </w:p>
    <w:p w14:paraId="2AA9FCA9" w14:textId="77777777" w:rsidR="00F25B08" w:rsidRDefault="00AA67F5" w:rsidP="00E60F26">
      <w:pPr>
        <w:pStyle w:val="Osnovnifont"/>
        <w:spacing w:after="120"/>
      </w:pPr>
      <w:r>
        <w:t>HAKOM posebno ističe važnost osiguravanja kontinuiteta govornih usluga za korisnike koji koriste samostalnu govornu uslugu putem bakrene mreže.</w:t>
      </w:r>
    </w:p>
    <w:p w14:paraId="1EAD10C3" w14:textId="2E3AFC78" w:rsidR="00AA67F5" w:rsidRDefault="0041477A" w:rsidP="00E53BAB">
      <w:pPr>
        <w:pStyle w:val="Osnovnifont"/>
        <w:spacing w:after="120"/>
      </w:pPr>
      <w:r>
        <w:t>Pri migraciji O</w:t>
      </w:r>
      <w:r w:rsidR="00E60F26" w:rsidRPr="00E60F26">
        <w:t xml:space="preserve">perator je obvezan pravodobno i jasno informirati krajnje korisnike </w:t>
      </w:r>
      <w:r w:rsidR="00424C70">
        <w:t xml:space="preserve">osobito </w:t>
      </w:r>
      <w:r w:rsidR="00E60F26" w:rsidRPr="00E60F26">
        <w:t>o:</w:t>
      </w:r>
    </w:p>
    <w:p w14:paraId="7E914FA3" w14:textId="77777777" w:rsidR="00AA67F5" w:rsidRDefault="00AA67F5" w:rsidP="00E53BAB">
      <w:pPr>
        <w:pStyle w:val="Osnovnifont"/>
        <w:numPr>
          <w:ilvl w:val="0"/>
          <w:numId w:val="8"/>
        </w:numPr>
      </w:pPr>
      <w:r>
        <w:t>planiranom gašenju bakrene mreže,</w:t>
      </w:r>
    </w:p>
    <w:p w14:paraId="27A90CCA" w14:textId="77777777" w:rsidR="00AA67F5" w:rsidRDefault="00AA67F5" w:rsidP="00E53BAB">
      <w:pPr>
        <w:pStyle w:val="Osnovnifont"/>
        <w:numPr>
          <w:ilvl w:val="0"/>
          <w:numId w:val="8"/>
        </w:numPr>
      </w:pPr>
      <w:r>
        <w:t>rokovima migracije,</w:t>
      </w:r>
    </w:p>
    <w:p w14:paraId="1B5C5C81" w14:textId="77777777" w:rsidR="00AA67F5" w:rsidRDefault="00AA67F5" w:rsidP="00E53BAB">
      <w:pPr>
        <w:pStyle w:val="Osnovnifont"/>
        <w:numPr>
          <w:ilvl w:val="0"/>
          <w:numId w:val="8"/>
        </w:numPr>
      </w:pPr>
      <w:r>
        <w:t>dostupnim zamjenskim uslugama,</w:t>
      </w:r>
    </w:p>
    <w:p w14:paraId="41558067" w14:textId="77777777" w:rsidR="00AA67F5" w:rsidRDefault="00AA67F5" w:rsidP="00E53BAB">
      <w:pPr>
        <w:pStyle w:val="Osnovnifont"/>
        <w:numPr>
          <w:ilvl w:val="0"/>
          <w:numId w:val="8"/>
        </w:numPr>
      </w:pPr>
      <w:r>
        <w:t>radnjama koje je potrebno poduzeti radi nastavka korištenja usluge,</w:t>
      </w:r>
    </w:p>
    <w:p w14:paraId="082BCA76" w14:textId="77777777" w:rsidR="00AA67F5" w:rsidRDefault="00AA67F5" w:rsidP="00E53BAB">
      <w:pPr>
        <w:pStyle w:val="Osnovnifont"/>
        <w:numPr>
          <w:ilvl w:val="0"/>
          <w:numId w:val="8"/>
        </w:numPr>
        <w:spacing w:after="120"/>
        <w:ind w:left="714" w:hanging="357"/>
      </w:pPr>
      <w:r>
        <w:t>posljedicama neprihvaćanja zamjenske usluge.</w:t>
      </w:r>
    </w:p>
    <w:p w14:paraId="74D80E8D" w14:textId="4A6B2AA9" w:rsidR="00D925A2" w:rsidRDefault="00351706" w:rsidP="00D925A2">
      <w:pPr>
        <w:pStyle w:val="Osnovnifont"/>
        <w:spacing w:after="120"/>
      </w:pPr>
      <w:r>
        <w:t>O</w:t>
      </w:r>
      <w:r w:rsidRPr="00D925A2">
        <w:t xml:space="preserve">sim krajnjih korisnika, </w:t>
      </w:r>
      <w:r w:rsidR="00D925A2" w:rsidRPr="00D925A2">
        <w:t xml:space="preserve">Operator </w:t>
      </w:r>
      <w:r>
        <w:t>je obvezan</w:t>
      </w:r>
      <w:r w:rsidR="00D925A2" w:rsidRPr="00D925A2">
        <w:t xml:space="preserve"> osigurati primjereno informiranje i drugih relevantnih dionika, uključujući operatore korisnike veleprodajnih usluga, nadležna tijela </w:t>
      </w:r>
      <w:r w:rsidR="0075146A">
        <w:t>te</w:t>
      </w:r>
      <w:r w:rsidR="00D925A2" w:rsidRPr="00D925A2">
        <w:t>, prema potrebi, jedinice lokalne i područne (regionalne) samouprave.</w:t>
      </w:r>
    </w:p>
    <w:p w14:paraId="4817AC54" w14:textId="4CF5F790" w:rsidR="00687CC1" w:rsidRDefault="00687CC1" w:rsidP="00E53BAB">
      <w:pPr>
        <w:pStyle w:val="Osnovnifont"/>
        <w:spacing w:after="120"/>
      </w:pPr>
      <w:r w:rsidRPr="00687CC1">
        <w:t>Operator je dužan unaprijed definirati postupanje u slučajevima kada migracija nije tehnički izvediva ili kada krajnji korisnik odbije zamjensku uslugu, uključujući alternativna rješenja ili uvjete prestanka pružanja usluge</w:t>
      </w:r>
      <w:r w:rsidR="00A04DB4">
        <w:t>,</w:t>
      </w:r>
      <w:r w:rsidR="00D925A2">
        <w:t xml:space="preserve"> </w:t>
      </w:r>
      <w:r w:rsidR="00A04DB4" w:rsidRPr="00A04DB4">
        <w:t>te poduzeti razumne mjere kako bi se u najvećoj mogućoj mjeri potaknula dobrovoljna migracija korisnika prije planiranog gašenja te smanjio rizik od prisilnog prestanka pružanja usluge.</w:t>
      </w:r>
    </w:p>
    <w:p w14:paraId="6BF01B2D" w14:textId="0C4CFA5C" w:rsidR="00C60A4F" w:rsidRDefault="00C60A4F" w:rsidP="00E53BAB">
      <w:pPr>
        <w:pStyle w:val="Osnovnifont"/>
        <w:spacing w:after="120"/>
      </w:pPr>
      <w:r w:rsidRPr="00C60A4F">
        <w:lastRenderedPageBreak/>
        <w:t xml:space="preserve">Pri planiranju i provedbi migracije Operator treba osobitu pozornost posvetiti korisnicima samostalne govorne usluge, korisnicima s posebnim potrebama te drugim kategorijama korisnika kod kojih bi prestanak postojeće usluge mogao imati izraženiji učinak na dostupnost elektroničkih komunikacijskih usluga. Operator je dužan unaprijed definirati postupanje u slučajevima kada </w:t>
      </w:r>
      <w:r>
        <w:t>migraciju korisnika</w:t>
      </w:r>
      <w:r w:rsidRPr="00C60A4F">
        <w:t xml:space="preserve"> nije moguće </w:t>
      </w:r>
      <w:r>
        <w:t>provesti</w:t>
      </w:r>
      <w:r w:rsidRPr="00C60A4F">
        <w:t xml:space="preserve"> iz tehničkih razloga, kada se korisnik ne odaziva na obavijesti ili kada odbija prihvatiti zamjensku uslugu. HAKOM će pri ocjeni primjerenosti postupka prelaska osobito uzeti u obzir jesu li predviđene primjerene mjere za navedene slučajeve te jesu li korisnici pravodobno i jasno informirani o posljedicama neprihvaćanja zamjenske usluge.</w:t>
      </w:r>
      <w:r w:rsidR="000F39B3">
        <w:t xml:space="preserve"> </w:t>
      </w:r>
      <w:r w:rsidRPr="00C60A4F">
        <w:t>Šutnja korisnika ili neodazivanje na obavijesti samo po sebi ne smatra se prihvatom zamjenske usluge niti sklapanjem novog ugovornog odnosa, osim ako je drukčije određeno primjenjivim propisima.</w:t>
      </w:r>
    </w:p>
    <w:p w14:paraId="6A6FE9F1" w14:textId="5699B6EC" w:rsidR="00AA67F5" w:rsidRDefault="00AA67F5" w:rsidP="00E53BAB">
      <w:pPr>
        <w:pStyle w:val="Osnovnifont"/>
        <w:spacing w:after="120"/>
      </w:pPr>
      <w:r>
        <w:t>U slučajevima kada na području planiranog gašenja postoje operatori k</w:t>
      </w:r>
      <w:r w:rsidR="0041477A">
        <w:t>orisnici veleprodajnih usluga, O</w:t>
      </w:r>
      <w:r>
        <w:t>perator koji provodi gašenje bakrene mreže obvezan je omogućiti primjeren rok za migraciju korisnika i osigurati dostupnost odgovarajućih zamjenskih veleprodajnih usluga</w:t>
      </w:r>
      <w:r w:rsidR="00D925A2" w:rsidRPr="00D925A2">
        <w:t>, uz primjenu načela nediskriminacije između vlastitih maloprodajnih aktivnosti Operatora i operatora korisnika veleprodajnih usluga.</w:t>
      </w:r>
    </w:p>
    <w:p w14:paraId="4D5AA17C" w14:textId="5A07E384" w:rsidR="00AA67F5" w:rsidRDefault="003D6645" w:rsidP="00E53BAB">
      <w:pPr>
        <w:pStyle w:val="Osnovnifont"/>
        <w:spacing w:after="120"/>
      </w:pPr>
      <w:r w:rsidRPr="003D6645">
        <w:t xml:space="preserve">HAKOM </w:t>
      </w:r>
      <w:r w:rsidR="00957AB1">
        <w:t>u pravilu neće smatrati primjerenim</w:t>
      </w:r>
      <w:r w:rsidRPr="003D6645">
        <w:t xml:space="preserve"> postupak gašenja bakrene mreže na područjima na kojima krajnjim korisnicima nije dostupno odgovarajuće zamjensko rješenje koj</w:t>
      </w:r>
      <w:r w:rsidR="00DD5AF5">
        <w:t>e</w:t>
      </w:r>
      <w:r w:rsidRPr="003D6645">
        <w:t xml:space="preserve"> omogućuje nastavak korištenja elektroničkih komunikacijskih usluga.</w:t>
      </w:r>
    </w:p>
    <w:p w14:paraId="64355229" w14:textId="77777777" w:rsidR="00AA67F5" w:rsidRDefault="00AA67F5" w:rsidP="00E53BAB">
      <w:pPr>
        <w:pStyle w:val="Osnovnifont"/>
        <w:spacing w:after="120"/>
      </w:pPr>
      <w:r>
        <w:t>Pri ocjeni primjerenosti rokova obavještavanja i migracije HAKOM će osobito uzimati u obzir:</w:t>
      </w:r>
    </w:p>
    <w:p w14:paraId="7F2463B2" w14:textId="77777777" w:rsidR="00AA67F5" w:rsidRDefault="00AA67F5" w:rsidP="00E53BAB">
      <w:pPr>
        <w:pStyle w:val="Osnovnifont"/>
        <w:numPr>
          <w:ilvl w:val="0"/>
          <w:numId w:val="9"/>
        </w:numPr>
      </w:pPr>
      <w:r>
        <w:t>broj zahvaćenih korisnika,</w:t>
      </w:r>
    </w:p>
    <w:p w14:paraId="32119196" w14:textId="77777777" w:rsidR="00AA67F5" w:rsidRDefault="00AA67F5" w:rsidP="00E53BAB">
      <w:pPr>
        <w:pStyle w:val="Osnovnifont"/>
        <w:numPr>
          <w:ilvl w:val="0"/>
          <w:numId w:val="9"/>
        </w:numPr>
      </w:pPr>
      <w:r>
        <w:t>postojanje veleprodajnih korisnika,</w:t>
      </w:r>
    </w:p>
    <w:p w14:paraId="670AECF3" w14:textId="77777777" w:rsidR="00AA67F5" w:rsidRDefault="00AA67F5" w:rsidP="00E53BAB">
      <w:pPr>
        <w:pStyle w:val="Osnovnifont"/>
        <w:numPr>
          <w:ilvl w:val="0"/>
          <w:numId w:val="9"/>
        </w:numPr>
      </w:pPr>
      <w:r>
        <w:t>dostupnost zamjenske infrastrukture,</w:t>
      </w:r>
    </w:p>
    <w:p w14:paraId="29310EBB" w14:textId="77777777" w:rsidR="00AA67F5" w:rsidRDefault="00AA67F5" w:rsidP="00E53BAB">
      <w:pPr>
        <w:pStyle w:val="Osnovnifont"/>
        <w:numPr>
          <w:ilvl w:val="0"/>
          <w:numId w:val="9"/>
        </w:numPr>
      </w:pPr>
      <w:r>
        <w:t>složenost migracije,</w:t>
      </w:r>
    </w:p>
    <w:p w14:paraId="5A0ED75A" w14:textId="77777777" w:rsidR="00AA67F5" w:rsidRDefault="00AA67F5" w:rsidP="00E53BAB">
      <w:pPr>
        <w:pStyle w:val="Osnovnifont"/>
        <w:numPr>
          <w:ilvl w:val="0"/>
          <w:numId w:val="9"/>
        </w:numPr>
      </w:pPr>
      <w:r>
        <w:t>posebne potrebe određenih kategorija korisnika,</w:t>
      </w:r>
    </w:p>
    <w:p w14:paraId="0668731D" w14:textId="29A40FD6" w:rsidR="00AA67F5" w:rsidRDefault="00AA67F5" w:rsidP="00E53BAB">
      <w:pPr>
        <w:pStyle w:val="Osnovnifont"/>
        <w:numPr>
          <w:ilvl w:val="0"/>
          <w:numId w:val="9"/>
        </w:numPr>
        <w:spacing w:after="120"/>
        <w:ind w:left="714" w:hanging="357"/>
      </w:pPr>
      <w:r>
        <w:t>tehničke specifičnosti pojedinog područja.</w:t>
      </w:r>
    </w:p>
    <w:p w14:paraId="16004CFA" w14:textId="7ADB6EEB" w:rsidR="00D246BB" w:rsidRDefault="00D246BB" w:rsidP="00D246BB">
      <w:pPr>
        <w:pStyle w:val="Osnovnifont"/>
        <w:spacing w:after="120"/>
      </w:pPr>
      <w:r w:rsidRPr="00D246BB">
        <w:t xml:space="preserve">Rokovi obavještavanja i migracije mogu se razlikovati ovisno o obilježjima pojedinog područja, broju zahvaćenih korisnika, postojanju operatora korisnika </w:t>
      </w:r>
      <w:r w:rsidR="0041477A">
        <w:t xml:space="preserve">veleprodajnih usluga </w:t>
      </w:r>
      <w:r w:rsidRPr="00D246BB">
        <w:t>i dostupnosti zamjenskih tehnologija.</w:t>
      </w:r>
    </w:p>
    <w:p w14:paraId="047DBEA2" w14:textId="23C3618E" w:rsidR="00306AAB" w:rsidRDefault="00AA67F5" w:rsidP="004621CA">
      <w:pPr>
        <w:pStyle w:val="Osnovnifont"/>
        <w:spacing w:after="120"/>
      </w:pPr>
      <w:r>
        <w:t xml:space="preserve">HAKOM zadržava pravo da, ovisno o okolnostima pojedinog slučaja, sukladno članku 114. ZEK-a odredi dodatne </w:t>
      </w:r>
      <w:r w:rsidR="004621CA" w:rsidRPr="004621CA">
        <w:t>ili drukčije</w:t>
      </w:r>
      <w:r w:rsidR="004621CA">
        <w:t xml:space="preserve"> </w:t>
      </w:r>
      <w:r>
        <w:t xml:space="preserve">uvjete </w:t>
      </w:r>
      <w:r w:rsidR="004621CA" w:rsidRPr="004621CA">
        <w:t>postupka prelaska</w:t>
      </w:r>
      <w:r w:rsidR="004621CA">
        <w:t xml:space="preserve"> </w:t>
      </w:r>
      <w:r>
        <w:t>radi osiguravanja zaštite tržišnog natjecanja i prava krajnjih korisnika.</w:t>
      </w:r>
    </w:p>
    <w:p w14:paraId="19825A75" w14:textId="1A72E106" w:rsidR="008F0056" w:rsidRDefault="008F0056" w:rsidP="004621CA">
      <w:pPr>
        <w:pStyle w:val="Osnovnifont"/>
        <w:spacing w:after="120"/>
      </w:pPr>
      <w:r w:rsidRPr="008F0056">
        <w:t>Kod većih ili složenijih postupaka migracije, osobito kada su zahvaćeni operatori korisnici veleprodajnih usluga ili veći broj korisnika, HAKOM može radi praćenja provedbe postupka prelaska zatražiti dostavu razmjernih i svrhovitih podataka o napretku migracije. Takvi podaci mogu osobito uključivati broj migriranih i preostalih korisnika, broj neuspjelih migracija, podatke o ozbiljnijim prekidima usluge, dostupnosti zamjenskih veleprodajnih proizvoda te neriješenim posebnim slučajevima koji mogu utjecati na ostvarivanje ciljeva postupka prelaska. Opseg, učestalost i sadržaj takvog izvješćivanja određuju se razmjerno okolnostima konkretnog slučaja te ne smiju stvarati nepotrebno administrativno opterećenje za sudionike postupka.</w:t>
      </w:r>
      <w:r>
        <w:t xml:space="preserve"> </w:t>
      </w:r>
    </w:p>
    <w:p w14:paraId="47F1D1E9" w14:textId="060FC7E8" w:rsidR="009866EF" w:rsidRDefault="00A22048">
      <w:pPr>
        <w:spacing w:before="120" w:after="60"/>
        <w:jc w:val="both"/>
        <w:rPr>
          <w:b/>
          <w:sz w:val="36"/>
        </w:rPr>
      </w:pPr>
      <w:r>
        <w:t>Ukoliko</w:t>
      </w:r>
      <w:r w:rsidR="00B73778" w:rsidRPr="00B73778">
        <w:t xml:space="preserve"> tijekom provedbe postupka HAKOM utvrdi da prethodno određeni ili predloženi uvjeti više ne osiguravaju primjeren postupak prelaska ili dostatnu zaštitu tržišnog natjecanja i prava krajnjih korisnika, može, u granicama ovlasti utvrđenih ZEK-om i uz poštovanje načela razmjernosti, izmijeniti ili dopuniti uvjete prijelaza, uključujući, prema potrebi, odgodu pojedine faze postupka.</w:t>
      </w:r>
      <w:r w:rsidR="009866EF">
        <w:br w:type="page"/>
      </w:r>
    </w:p>
    <w:p w14:paraId="72F20C74" w14:textId="7E0CC28B" w:rsidR="000177A0" w:rsidRPr="007C53CC" w:rsidRDefault="00B63099" w:rsidP="00E5146B">
      <w:pPr>
        <w:pStyle w:val="Nazivpoglavlja"/>
        <w:numPr>
          <w:ilvl w:val="0"/>
          <w:numId w:val="3"/>
        </w:numPr>
      </w:pPr>
      <w:bookmarkStart w:id="32" w:name="_Toc239944258"/>
      <w:r>
        <w:lastRenderedPageBreak/>
        <w:t xml:space="preserve">Scenariji </w:t>
      </w:r>
      <w:r w:rsidR="00EB4F08">
        <w:t xml:space="preserve">gašenja </w:t>
      </w:r>
      <w:r w:rsidR="004E4B6D">
        <w:t xml:space="preserve">bakrene mreže </w:t>
      </w:r>
      <w:r w:rsidR="00EB4F08">
        <w:t xml:space="preserve">i </w:t>
      </w:r>
      <w:r>
        <w:t>migracije</w:t>
      </w:r>
      <w:r w:rsidR="00EB4F08">
        <w:t xml:space="preserve"> korisnika</w:t>
      </w:r>
      <w:bookmarkEnd w:id="32"/>
    </w:p>
    <w:p w14:paraId="108F2C1A" w14:textId="64EB5155" w:rsidR="00B63099" w:rsidRDefault="00527569" w:rsidP="00E80AB7">
      <w:pPr>
        <w:pStyle w:val="Podnaslovpoglavlja1"/>
        <w:numPr>
          <w:ilvl w:val="1"/>
          <w:numId w:val="3"/>
        </w:numPr>
      </w:pPr>
      <w:bookmarkStart w:id="33" w:name="_Toc239944259"/>
      <w:r>
        <w:t>Područje na kojem nema maloprodajnih ni veleprodajnih korisnika</w:t>
      </w:r>
      <w:bookmarkEnd w:id="33"/>
    </w:p>
    <w:p w14:paraId="63B74949" w14:textId="4CEF6166" w:rsidR="00CD6C69" w:rsidRPr="00CD6C69" w:rsidRDefault="00CD6C69" w:rsidP="00CD6C69">
      <w:pPr>
        <w:pStyle w:val="Osnovnifont"/>
        <w:spacing w:after="120"/>
        <w:rPr>
          <w:color w:val="auto"/>
        </w:rPr>
      </w:pPr>
      <w:r w:rsidRPr="00CD6C69">
        <w:rPr>
          <w:color w:val="auto"/>
        </w:rPr>
        <w:t xml:space="preserve">U slučaju kada se planirano gašenje dijela bakrene pristupne mreže odnosi na područje na kojem </w:t>
      </w:r>
      <w:r w:rsidR="00F23A48">
        <w:rPr>
          <w:color w:val="auto"/>
        </w:rPr>
        <w:t xml:space="preserve">u trenutku objave plana </w:t>
      </w:r>
      <w:r w:rsidRPr="00CD6C69">
        <w:rPr>
          <w:color w:val="auto"/>
        </w:rPr>
        <w:t>ne postoje aktivni maloprodajni ni veleprodajni korisnici</w:t>
      </w:r>
      <w:r w:rsidR="00F23A48">
        <w:rPr>
          <w:color w:val="auto"/>
        </w:rPr>
        <w:t xml:space="preserve"> niti se u skoroj budućnosti očekuje potražnja na maloprodajnoj i veleprodajnoj razini</w:t>
      </w:r>
      <w:r w:rsidRPr="00CD6C69">
        <w:rPr>
          <w:color w:val="auto"/>
        </w:rPr>
        <w:t>, HAKOM smatra da nije potrebno provoditi posebne postupke migracije korisnika niti određivati dodatne prijelazne mjere iz članka 114. ZEK-a.</w:t>
      </w:r>
      <w:r w:rsidR="00083A06">
        <w:rPr>
          <w:color w:val="auto"/>
        </w:rPr>
        <w:t xml:space="preserve"> R</w:t>
      </w:r>
      <w:r w:rsidRPr="00CD6C69">
        <w:rPr>
          <w:color w:val="auto"/>
        </w:rPr>
        <w:t xml:space="preserve">egulatorni postupak u ovom scenariju prvenstveno je usmjeren na osiguravanje transparentnosti postupka, evidentiranje promjena u mrežnoj </w:t>
      </w:r>
      <w:r w:rsidR="00C838F6">
        <w:rPr>
          <w:color w:val="auto"/>
        </w:rPr>
        <w:t>arhitekturi</w:t>
      </w:r>
      <w:r w:rsidR="00C838F6" w:rsidRPr="00CD6C69">
        <w:rPr>
          <w:color w:val="auto"/>
        </w:rPr>
        <w:t xml:space="preserve"> </w:t>
      </w:r>
      <w:r w:rsidRPr="00CD6C69">
        <w:rPr>
          <w:color w:val="auto"/>
        </w:rPr>
        <w:t xml:space="preserve">te provjeru dostupnosti odgovarajućih zamjenskih </w:t>
      </w:r>
      <w:r w:rsidR="00496D1E">
        <w:rPr>
          <w:color w:val="auto"/>
        </w:rPr>
        <w:t>usluga i t</w:t>
      </w:r>
      <w:r w:rsidR="00083A06">
        <w:rPr>
          <w:color w:val="auto"/>
        </w:rPr>
        <w:t>ehnologija</w:t>
      </w:r>
      <w:r w:rsidR="00496D1E">
        <w:rPr>
          <w:color w:val="auto"/>
        </w:rPr>
        <w:t xml:space="preserve"> </w:t>
      </w:r>
      <w:r w:rsidRPr="00CD6C69">
        <w:rPr>
          <w:color w:val="auto"/>
        </w:rPr>
        <w:t>na predmetnom području.</w:t>
      </w:r>
    </w:p>
    <w:p w14:paraId="0E90C233" w14:textId="783072E7" w:rsidR="00CD6C69" w:rsidRPr="00CD6C69" w:rsidRDefault="0079725D" w:rsidP="00CD6C69">
      <w:pPr>
        <w:pStyle w:val="Osnovnifont"/>
        <w:spacing w:after="120"/>
        <w:rPr>
          <w:color w:val="auto"/>
        </w:rPr>
      </w:pPr>
      <w:r w:rsidRPr="0079725D">
        <w:rPr>
          <w:color w:val="auto"/>
        </w:rPr>
        <w:t>Operator je obvezan HAKOM-u dostaviti obavijest koja</w:t>
      </w:r>
      <w:r w:rsidR="00AF62B3">
        <w:rPr>
          <w:color w:val="auto"/>
        </w:rPr>
        <w:t>,</w:t>
      </w:r>
      <w:r w:rsidRPr="0079725D">
        <w:rPr>
          <w:color w:val="auto"/>
        </w:rPr>
        <w:t xml:space="preserve"> uz podatke iz poglavlja 4. Smjernica</w:t>
      </w:r>
      <w:r w:rsidR="00AF62B3">
        <w:rPr>
          <w:color w:val="auto"/>
        </w:rPr>
        <w:t xml:space="preserve">, </w:t>
      </w:r>
      <w:r w:rsidRPr="0079725D">
        <w:rPr>
          <w:color w:val="auto"/>
        </w:rPr>
        <w:t>mora najmanje sadržavati sljedeće:</w:t>
      </w:r>
    </w:p>
    <w:p w14:paraId="03FE7B0E" w14:textId="7DC461AB" w:rsidR="00CD6C69" w:rsidRPr="00CD6C69" w:rsidRDefault="00325265" w:rsidP="00325265">
      <w:pPr>
        <w:pStyle w:val="Osnovnifont"/>
        <w:numPr>
          <w:ilvl w:val="0"/>
          <w:numId w:val="11"/>
        </w:numPr>
        <w:spacing w:after="120"/>
        <w:ind w:left="714" w:hanging="357"/>
        <w:rPr>
          <w:color w:val="auto"/>
        </w:rPr>
      </w:pPr>
      <w:r w:rsidRPr="00325265">
        <w:rPr>
          <w:color w:val="auto"/>
        </w:rPr>
        <w:t>dokaz o nepostojanju aktivnih maloprodajnih i veleprodajnih korisnika na predmetnom području, koji može b</w:t>
      </w:r>
      <w:r w:rsidR="0041477A">
        <w:rPr>
          <w:color w:val="auto"/>
        </w:rPr>
        <w:t>iti dostavljen u obliku izjave O</w:t>
      </w:r>
      <w:r w:rsidRPr="00325265">
        <w:rPr>
          <w:color w:val="auto"/>
        </w:rPr>
        <w:t>peratora</w:t>
      </w:r>
      <w:r w:rsidR="004107C1">
        <w:rPr>
          <w:color w:val="auto"/>
        </w:rPr>
        <w:t xml:space="preserve"> dane na vlastitu odgovornost</w:t>
      </w:r>
      <w:r w:rsidRPr="00325265">
        <w:rPr>
          <w:color w:val="auto"/>
        </w:rPr>
        <w:t>, osim ako HAKOM zatraži dodatnu dokumentaciju</w:t>
      </w:r>
      <w:r>
        <w:rPr>
          <w:color w:val="auto"/>
        </w:rPr>
        <w:t>.</w:t>
      </w:r>
    </w:p>
    <w:p w14:paraId="69769CD0" w14:textId="34ADEC69" w:rsidR="00EF0B55" w:rsidRPr="00CD6C69" w:rsidRDefault="00A22048" w:rsidP="007B5A74">
      <w:pPr>
        <w:pStyle w:val="Osnovnifont"/>
        <w:rPr>
          <w:color w:val="auto"/>
        </w:rPr>
      </w:pPr>
      <w:r>
        <w:rPr>
          <w:color w:val="auto"/>
        </w:rPr>
        <w:t>Utvrdi li</w:t>
      </w:r>
      <w:r w:rsidR="009E3373">
        <w:rPr>
          <w:color w:val="auto"/>
        </w:rPr>
        <w:t xml:space="preserve"> </w:t>
      </w:r>
      <w:r w:rsidR="00325265">
        <w:rPr>
          <w:color w:val="auto"/>
        </w:rPr>
        <w:t>HAKOM</w:t>
      </w:r>
      <w:r w:rsidR="00CD6C69" w:rsidRPr="00CD6C69">
        <w:rPr>
          <w:color w:val="auto"/>
        </w:rPr>
        <w:t xml:space="preserve"> tijekom postupka postojanje aktivnih </w:t>
      </w:r>
      <w:r w:rsidR="00325265">
        <w:rPr>
          <w:color w:val="auto"/>
        </w:rPr>
        <w:t xml:space="preserve">maloprodajnih ili veleprodajnih </w:t>
      </w:r>
      <w:r w:rsidR="00CD6C69" w:rsidRPr="00CD6C69">
        <w:rPr>
          <w:color w:val="auto"/>
        </w:rPr>
        <w:t xml:space="preserve">korisnika na području planiranog gašenja, smatrat će se da nisu ispunjeni uvjeti za primjenu ovog scenarija te će se postupak provoditi sukladno odgovarajućem scenariju iz </w:t>
      </w:r>
      <w:r w:rsidR="00CD6C69">
        <w:rPr>
          <w:color w:val="auto"/>
        </w:rPr>
        <w:t>S</w:t>
      </w:r>
      <w:r w:rsidR="00CD6C69" w:rsidRPr="00CD6C69">
        <w:rPr>
          <w:color w:val="auto"/>
        </w:rPr>
        <w:t>mjernica.</w:t>
      </w:r>
      <w:r w:rsidR="007B5A74">
        <w:rPr>
          <w:color w:val="auto"/>
        </w:rPr>
        <w:t xml:space="preserve"> </w:t>
      </w:r>
      <w:r w:rsidR="000C1207">
        <w:rPr>
          <w:color w:val="auto"/>
        </w:rPr>
        <w:t>HAKOM će p</w:t>
      </w:r>
      <w:r w:rsidR="00CD6C69" w:rsidRPr="00CD6C69">
        <w:rPr>
          <w:color w:val="auto"/>
        </w:rPr>
        <w:t xml:space="preserve">o zaprimanju potpune </w:t>
      </w:r>
      <w:r w:rsidR="00180165">
        <w:rPr>
          <w:color w:val="auto"/>
        </w:rPr>
        <w:t>obavijesti ocijeniti</w:t>
      </w:r>
      <w:r w:rsidR="00BD288F" w:rsidRPr="00BD288F">
        <w:rPr>
          <w:color w:val="auto"/>
        </w:rPr>
        <w:t xml:space="preserve"> jesu li ispunjeni uvjeti za primjenu ovog scenarija. </w:t>
      </w:r>
      <w:r>
        <w:rPr>
          <w:color w:val="auto"/>
        </w:rPr>
        <w:t>Ukoliko</w:t>
      </w:r>
      <w:r w:rsidR="00BD288F" w:rsidRPr="00BD288F">
        <w:rPr>
          <w:color w:val="auto"/>
        </w:rPr>
        <w:t xml:space="preserve"> tijekom </w:t>
      </w:r>
      <w:r w:rsidR="00180165">
        <w:rPr>
          <w:color w:val="auto"/>
        </w:rPr>
        <w:t>ocjene</w:t>
      </w:r>
      <w:r w:rsidR="00BD288F" w:rsidRPr="00BD288F">
        <w:rPr>
          <w:color w:val="auto"/>
        </w:rPr>
        <w:t xml:space="preserve"> ne utvrdi okolnosti koje zahtijevaju dodatno regulatorno postupanje, HAKO</w:t>
      </w:r>
      <w:r w:rsidR="00BD288F">
        <w:rPr>
          <w:color w:val="auto"/>
        </w:rPr>
        <w:t xml:space="preserve">M </w:t>
      </w:r>
      <w:r w:rsidR="008922DA">
        <w:rPr>
          <w:color w:val="auto"/>
        </w:rPr>
        <w:t xml:space="preserve">će o svojoj ocjeni obavijestiti Operatora te </w:t>
      </w:r>
      <w:r w:rsidR="00BD288F">
        <w:rPr>
          <w:color w:val="auto"/>
        </w:rPr>
        <w:t>neće poduzimati daljnje mjere</w:t>
      </w:r>
      <w:r w:rsidR="000C1207">
        <w:rPr>
          <w:color w:val="auto"/>
        </w:rPr>
        <w:t>.</w:t>
      </w:r>
      <w:r w:rsidR="00086085" w:rsidRPr="00086085">
        <w:t xml:space="preserve"> </w:t>
      </w:r>
      <w:r w:rsidR="000F4A38" w:rsidRPr="000F4A38">
        <w:t>Potreba za provedbom javnog savjetovanja utvrđuje se u skladu sa ZEK-om, uzimajući u obzir prirodu i tržišni učinak konkretne mjere</w:t>
      </w:r>
      <w:r w:rsidR="000F4A38">
        <w:t xml:space="preserve">. </w:t>
      </w:r>
      <w:r w:rsidR="00086085" w:rsidRPr="00086085">
        <w:rPr>
          <w:color w:val="auto"/>
        </w:rPr>
        <w:t>S obzirom na nepostojanje aktivnih veleprodajnih</w:t>
      </w:r>
      <w:r w:rsidR="00F23A48">
        <w:rPr>
          <w:color w:val="auto"/>
        </w:rPr>
        <w:t xml:space="preserve"> i maloprodajnih</w:t>
      </w:r>
      <w:r w:rsidR="00086085" w:rsidRPr="00086085">
        <w:rPr>
          <w:color w:val="auto"/>
        </w:rPr>
        <w:t xml:space="preserve"> korisnika na predmetnom području</w:t>
      </w:r>
      <w:r w:rsidR="00F23A48">
        <w:rPr>
          <w:color w:val="auto"/>
        </w:rPr>
        <w:t xml:space="preserve"> te da se ne očekuje potražnja u skor</w:t>
      </w:r>
      <w:r w:rsidR="00F11088">
        <w:rPr>
          <w:color w:val="auto"/>
        </w:rPr>
        <w:t>oj budućnosti</w:t>
      </w:r>
      <w:r w:rsidR="00086085" w:rsidRPr="00086085">
        <w:rPr>
          <w:color w:val="auto"/>
        </w:rPr>
        <w:t>, HAKOM u pravilu neće provoditi javno savjetovanje</w:t>
      </w:r>
      <w:r w:rsidR="00BD288F">
        <w:rPr>
          <w:color w:val="auto"/>
        </w:rPr>
        <w:t>.</w:t>
      </w:r>
    </w:p>
    <w:p w14:paraId="6AD50B1C" w14:textId="69FC49CF" w:rsidR="00527569" w:rsidRDefault="00527569" w:rsidP="00E80AB7">
      <w:pPr>
        <w:pStyle w:val="Podnaslovpoglavlja1"/>
        <w:numPr>
          <w:ilvl w:val="1"/>
          <w:numId w:val="3"/>
        </w:numPr>
      </w:pPr>
      <w:bookmarkStart w:id="34" w:name="_Toc239944260"/>
      <w:r>
        <w:t>Područje na kojem su samo maloprodajni korisnici</w:t>
      </w:r>
      <w:bookmarkEnd w:id="34"/>
    </w:p>
    <w:p w14:paraId="52FA4DDF" w14:textId="2B9DE0B6" w:rsidR="00CD6C69" w:rsidRPr="00CD6C69" w:rsidRDefault="00CD6C69" w:rsidP="0089048F">
      <w:pPr>
        <w:pStyle w:val="Osnovnifont"/>
        <w:spacing w:after="120"/>
        <w:rPr>
          <w:color w:val="auto"/>
        </w:rPr>
      </w:pPr>
      <w:r w:rsidRPr="00CD6C69">
        <w:rPr>
          <w:color w:val="auto"/>
        </w:rPr>
        <w:t>U slučaju kada se planirano gašenje dijela bakrene pristupne mreže odnosi na područje na kojem postoje aktivni maloprodajni korisnici, ali ne postoje aktivni veleprodajni korisnici, HAKOM smatra da je potrebno osigurati primjeren i pravodoban postupak migracije krajnjih korisnika na zamjenske usluge.</w:t>
      </w:r>
    </w:p>
    <w:p w14:paraId="3B2C7BF9" w14:textId="36529013" w:rsidR="00CD6C69" w:rsidRPr="00CD6C69" w:rsidRDefault="00EA6E16" w:rsidP="0089048F">
      <w:pPr>
        <w:pStyle w:val="Osnovnifont"/>
        <w:spacing w:after="120"/>
        <w:rPr>
          <w:color w:val="auto"/>
        </w:rPr>
      </w:pPr>
      <w:r w:rsidRPr="00EA6E16">
        <w:rPr>
          <w:color w:val="auto"/>
        </w:rPr>
        <w:t>HAKOM smatra da je, kao polazište za ocjenu pravodobnosti obavijesti iz članka 114. ZEK-a u ovom scenariju, primjeren rok za dostavu obavijesti najmanje 9 mjeseci prije planiranog datuma početka gašenja dijela bakrene mreže. Pri ocjeni primjerenosti roka HAKOM može, uzimajući u obzir okolnosti konkretnog slučaja, složenost migracije i potrebe krajnjih korisnika, smatrati primjerenima i drukčije rokove.</w:t>
      </w:r>
    </w:p>
    <w:p w14:paraId="57E4A355" w14:textId="1D7DE757" w:rsidR="00BF647B" w:rsidRDefault="0041477A" w:rsidP="0089048F">
      <w:pPr>
        <w:pStyle w:val="Osnovnifont"/>
        <w:spacing w:after="120"/>
        <w:rPr>
          <w:color w:val="auto"/>
        </w:rPr>
      </w:pPr>
      <w:r>
        <w:rPr>
          <w:color w:val="auto"/>
        </w:rPr>
        <w:t xml:space="preserve">Istodobno, </w:t>
      </w:r>
      <w:r w:rsidR="00F11088" w:rsidRPr="00F11088">
        <w:rPr>
          <w:color w:val="auto"/>
        </w:rPr>
        <w:t xml:space="preserve">HAKOM smatra da bi krajnje korisnike u pravilu trebalo obavijestiti najmanje 6 mjeseci prije planiranog </w:t>
      </w:r>
      <w:r w:rsidR="00CC1182">
        <w:rPr>
          <w:color w:val="auto"/>
        </w:rPr>
        <w:t xml:space="preserve">datuma </w:t>
      </w:r>
      <w:r w:rsidR="00F11088" w:rsidRPr="00F11088">
        <w:rPr>
          <w:color w:val="auto"/>
        </w:rPr>
        <w:t>početka gašenja</w:t>
      </w:r>
      <w:r w:rsidR="00390E52">
        <w:rPr>
          <w:color w:val="auto"/>
        </w:rPr>
        <w:t xml:space="preserve">, </w:t>
      </w:r>
      <w:r w:rsidR="004107C1" w:rsidRPr="004107C1">
        <w:rPr>
          <w:color w:val="auto"/>
        </w:rPr>
        <w:t>nakon što HAKOM ocijeni primjerenost postupka prelaska i, prema potrebi, odredi uvjete</w:t>
      </w:r>
      <w:r w:rsidR="008E2D2B">
        <w:rPr>
          <w:color w:val="auto"/>
        </w:rPr>
        <w:t xml:space="preserve">. </w:t>
      </w:r>
    </w:p>
    <w:p w14:paraId="57F7A29D" w14:textId="77777777" w:rsidR="00BF647B" w:rsidRDefault="00BF647B" w:rsidP="0089048F">
      <w:pPr>
        <w:pStyle w:val="Osnovnifont"/>
        <w:spacing w:after="120"/>
        <w:rPr>
          <w:color w:val="auto"/>
        </w:rPr>
      </w:pPr>
    </w:p>
    <w:p w14:paraId="0D1B6D53" w14:textId="77777777" w:rsidR="00BF647B" w:rsidRDefault="00BF647B" w:rsidP="0089048F">
      <w:pPr>
        <w:pStyle w:val="Osnovnifont"/>
        <w:spacing w:after="120"/>
        <w:rPr>
          <w:color w:val="auto"/>
        </w:rPr>
      </w:pPr>
    </w:p>
    <w:p w14:paraId="00CA6477" w14:textId="52F340F1" w:rsidR="00CD6C69" w:rsidRPr="00CD6C69" w:rsidRDefault="00424C70" w:rsidP="0089048F">
      <w:pPr>
        <w:pStyle w:val="Osnovnifont"/>
        <w:spacing w:after="120"/>
        <w:rPr>
          <w:color w:val="auto"/>
        </w:rPr>
      </w:pPr>
      <w:r>
        <w:lastRenderedPageBreak/>
        <w:t>Obavijest krajnjim korisnicima mora, uz informacije iz poglavlja 4</w:t>
      </w:r>
      <w:r w:rsidR="00C71357">
        <w:t>.</w:t>
      </w:r>
      <w:r>
        <w:t xml:space="preserve"> Smjernica, sadržavati najmanje:</w:t>
      </w:r>
    </w:p>
    <w:p w14:paraId="250EF336" w14:textId="590F309C" w:rsidR="00CD6C69" w:rsidRPr="00CD6C69" w:rsidRDefault="00DB07AB" w:rsidP="0089048F">
      <w:pPr>
        <w:pStyle w:val="Osnovnifont"/>
        <w:numPr>
          <w:ilvl w:val="0"/>
          <w:numId w:val="16"/>
        </w:numPr>
        <w:rPr>
          <w:color w:val="auto"/>
        </w:rPr>
      </w:pPr>
      <w:r>
        <w:rPr>
          <w:color w:val="auto"/>
        </w:rPr>
        <w:t xml:space="preserve">planirani </w:t>
      </w:r>
      <w:r w:rsidR="00CD6C69" w:rsidRPr="00CD6C69">
        <w:rPr>
          <w:color w:val="auto"/>
        </w:rPr>
        <w:t xml:space="preserve">datum </w:t>
      </w:r>
      <w:r>
        <w:rPr>
          <w:color w:val="auto"/>
        </w:rPr>
        <w:t>početka</w:t>
      </w:r>
      <w:r w:rsidRPr="00CD6C69">
        <w:rPr>
          <w:color w:val="auto"/>
        </w:rPr>
        <w:t xml:space="preserve"> </w:t>
      </w:r>
      <w:r w:rsidR="00CD6C69" w:rsidRPr="00CD6C69">
        <w:rPr>
          <w:color w:val="auto"/>
        </w:rPr>
        <w:t>gašenja usluge</w:t>
      </w:r>
      <w:r w:rsidR="0089048F">
        <w:rPr>
          <w:color w:val="auto"/>
        </w:rPr>
        <w:t>,</w:t>
      </w:r>
    </w:p>
    <w:p w14:paraId="499530F7" w14:textId="16DFFE77" w:rsidR="00CD6C69" w:rsidRDefault="00CD6C69" w:rsidP="0089048F">
      <w:pPr>
        <w:pStyle w:val="Osnovnifont"/>
        <w:numPr>
          <w:ilvl w:val="0"/>
          <w:numId w:val="16"/>
        </w:numPr>
        <w:rPr>
          <w:color w:val="auto"/>
        </w:rPr>
      </w:pPr>
      <w:r w:rsidRPr="00CD6C69">
        <w:rPr>
          <w:color w:val="auto"/>
        </w:rPr>
        <w:t>dostupn</w:t>
      </w:r>
      <w:r w:rsidR="0089048F">
        <w:rPr>
          <w:color w:val="auto"/>
        </w:rPr>
        <w:t>e</w:t>
      </w:r>
      <w:r w:rsidRPr="00CD6C69">
        <w:rPr>
          <w:color w:val="auto"/>
        </w:rPr>
        <w:t xml:space="preserve"> zamjensk</w:t>
      </w:r>
      <w:r w:rsidR="0089048F">
        <w:rPr>
          <w:color w:val="auto"/>
        </w:rPr>
        <w:t>e</w:t>
      </w:r>
      <w:r w:rsidRPr="00CD6C69">
        <w:rPr>
          <w:color w:val="auto"/>
        </w:rPr>
        <w:t xml:space="preserve"> uslug</w:t>
      </w:r>
      <w:r w:rsidR="0089048F">
        <w:rPr>
          <w:color w:val="auto"/>
        </w:rPr>
        <w:t>e</w:t>
      </w:r>
      <w:r w:rsidRPr="00CD6C69">
        <w:rPr>
          <w:color w:val="auto"/>
        </w:rPr>
        <w:t xml:space="preserve"> i tehnologij</w:t>
      </w:r>
      <w:r w:rsidR="0089048F">
        <w:rPr>
          <w:color w:val="auto"/>
        </w:rPr>
        <w:t>e,</w:t>
      </w:r>
    </w:p>
    <w:p w14:paraId="2A31CD36" w14:textId="43F33137" w:rsidR="0089048F" w:rsidRPr="00CD6C69" w:rsidRDefault="00712F01" w:rsidP="000C1207">
      <w:pPr>
        <w:pStyle w:val="Osnovnifont"/>
        <w:numPr>
          <w:ilvl w:val="0"/>
          <w:numId w:val="16"/>
        </w:numPr>
        <w:rPr>
          <w:color w:val="auto"/>
        </w:rPr>
      </w:pPr>
      <w:r>
        <w:rPr>
          <w:color w:val="auto"/>
        </w:rPr>
        <w:t>ključne značajke</w:t>
      </w:r>
      <w:r w:rsidR="000C1207" w:rsidRPr="000C1207">
        <w:rPr>
          <w:color w:val="auto"/>
        </w:rPr>
        <w:t xml:space="preserve"> i obilježja dostupnih zamjenskih usluga</w:t>
      </w:r>
      <w:r w:rsidR="003D3827">
        <w:rPr>
          <w:color w:val="auto"/>
        </w:rPr>
        <w:t>,</w:t>
      </w:r>
    </w:p>
    <w:p w14:paraId="7B843F1B" w14:textId="0AE3C415" w:rsidR="00CD6C69" w:rsidRPr="00CD6C69" w:rsidRDefault="00CD6C69" w:rsidP="0089048F">
      <w:pPr>
        <w:pStyle w:val="Osnovnifont"/>
        <w:numPr>
          <w:ilvl w:val="0"/>
          <w:numId w:val="16"/>
        </w:numPr>
        <w:rPr>
          <w:color w:val="auto"/>
        </w:rPr>
      </w:pPr>
      <w:r w:rsidRPr="00CD6C69">
        <w:rPr>
          <w:color w:val="auto"/>
        </w:rPr>
        <w:t>uvjet</w:t>
      </w:r>
      <w:r w:rsidR="00712F01">
        <w:rPr>
          <w:color w:val="auto"/>
        </w:rPr>
        <w:t>e</w:t>
      </w:r>
      <w:r w:rsidRPr="00CD6C69">
        <w:rPr>
          <w:color w:val="auto"/>
        </w:rPr>
        <w:t xml:space="preserve"> i rokov</w:t>
      </w:r>
      <w:r w:rsidR="00712F01">
        <w:rPr>
          <w:color w:val="auto"/>
        </w:rPr>
        <w:t>e</w:t>
      </w:r>
      <w:r w:rsidRPr="00CD6C69">
        <w:rPr>
          <w:color w:val="auto"/>
        </w:rPr>
        <w:t xml:space="preserve"> migracije</w:t>
      </w:r>
      <w:r w:rsidR="0089048F">
        <w:rPr>
          <w:color w:val="auto"/>
        </w:rPr>
        <w:t>,</w:t>
      </w:r>
    </w:p>
    <w:p w14:paraId="1B75E4AC" w14:textId="2942FDC0" w:rsidR="00CD6C69" w:rsidRDefault="00CD6C69" w:rsidP="0089048F">
      <w:pPr>
        <w:pStyle w:val="Osnovnifont"/>
        <w:numPr>
          <w:ilvl w:val="0"/>
          <w:numId w:val="16"/>
        </w:numPr>
        <w:rPr>
          <w:color w:val="auto"/>
        </w:rPr>
      </w:pPr>
      <w:r w:rsidRPr="00CD6C69">
        <w:rPr>
          <w:color w:val="auto"/>
        </w:rPr>
        <w:t>moguć</w:t>
      </w:r>
      <w:r w:rsidR="00496D1E">
        <w:rPr>
          <w:color w:val="auto"/>
        </w:rPr>
        <w:t>e</w:t>
      </w:r>
      <w:r w:rsidRPr="00CD6C69">
        <w:rPr>
          <w:color w:val="auto"/>
        </w:rPr>
        <w:t xml:space="preserve"> promjen</w:t>
      </w:r>
      <w:r w:rsidR="00496D1E">
        <w:rPr>
          <w:color w:val="auto"/>
        </w:rPr>
        <w:t>e</w:t>
      </w:r>
      <w:r w:rsidRPr="00CD6C69">
        <w:rPr>
          <w:color w:val="auto"/>
        </w:rPr>
        <w:t xml:space="preserve"> u načinu korištenja usluge</w:t>
      </w:r>
      <w:r w:rsidR="0089048F">
        <w:rPr>
          <w:color w:val="auto"/>
        </w:rPr>
        <w:t>,</w:t>
      </w:r>
    </w:p>
    <w:p w14:paraId="0A0D7F27" w14:textId="771CE42D" w:rsidR="0069052F" w:rsidRPr="00CD6C69" w:rsidRDefault="0069052F" w:rsidP="0069052F">
      <w:pPr>
        <w:pStyle w:val="Osnovnifont"/>
        <w:numPr>
          <w:ilvl w:val="0"/>
          <w:numId w:val="16"/>
        </w:numPr>
        <w:spacing w:after="120"/>
        <w:ind w:left="714" w:hanging="357"/>
        <w:rPr>
          <w:color w:val="auto"/>
        </w:rPr>
      </w:pPr>
      <w:r w:rsidRPr="00CD6C69">
        <w:rPr>
          <w:color w:val="auto"/>
        </w:rPr>
        <w:t>kontakt kanal</w:t>
      </w:r>
      <w:r>
        <w:rPr>
          <w:color w:val="auto"/>
        </w:rPr>
        <w:t>e</w:t>
      </w:r>
      <w:r w:rsidRPr="00CD6C69">
        <w:rPr>
          <w:color w:val="auto"/>
        </w:rPr>
        <w:t xml:space="preserve"> za dodatne informacije i podršku korisnicima.</w:t>
      </w:r>
    </w:p>
    <w:p w14:paraId="218C04B1" w14:textId="6D72AD20" w:rsidR="00BF647B" w:rsidRDefault="00BF647B" w:rsidP="00157017">
      <w:pPr>
        <w:pStyle w:val="Osnovnifont"/>
        <w:spacing w:after="120"/>
      </w:pPr>
      <w:r w:rsidRPr="00BF647B">
        <w:t>Nakon slanja obavijesti o planiranom početk</w:t>
      </w:r>
      <w:r>
        <w:t>u gašenja, O</w:t>
      </w:r>
      <w:r w:rsidRPr="00BF647B">
        <w:t>perator je obvezan obavijestiti krajnjeg korisnika o izmjenama  ugovorenih uvjeta, kao i o pravu krajnjeg korisnika na raskid ugovora bez dodatnih troškova</w:t>
      </w:r>
      <w:r w:rsidR="00B64F09">
        <w:t>, ako su za to ispunjeni uvjeti propisani ZEK-om</w:t>
      </w:r>
      <w:r w:rsidR="00D328E0">
        <w:t xml:space="preserve"> i drugim primjenjivim propisima,</w:t>
      </w:r>
      <w:r w:rsidRPr="00BF647B">
        <w:t xml:space="preserve"> u roku od 2 mjeseca od primitka obavijesti o izmjenama ugovornih uvjeta.</w:t>
      </w:r>
    </w:p>
    <w:p w14:paraId="207E33F8" w14:textId="36C8A4BE" w:rsidR="00312675" w:rsidRDefault="00ED1FC2" w:rsidP="00ED1FC2">
      <w:pPr>
        <w:pStyle w:val="Osnovnifont"/>
        <w:spacing w:after="120"/>
      </w:pPr>
      <w:r>
        <w:t>Primjerenost zamjenske usluge procjenjuje se sukladno načelima i kriterijima iz poglavlja 4</w:t>
      </w:r>
      <w:r w:rsidR="00666F4A">
        <w:t>.</w:t>
      </w:r>
      <w:r>
        <w:t xml:space="preserve"> Smjernica, osobito vodeći računa o funkcionalnoj usporedivosti usluge, </w:t>
      </w:r>
      <w:r w:rsidR="007C53CC" w:rsidRPr="007C53CC">
        <w:t>kvaliteti i uvjetima korištenja usluge</w:t>
      </w:r>
      <w:r w:rsidR="007C53CC">
        <w:t xml:space="preserve">, </w:t>
      </w:r>
      <w:r>
        <w:t xml:space="preserve">kontinuitetu korištenja elektroničkih komunikacijskih usluga </w:t>
      </w:r>
      <w:r w:rsidR="007C53CC">
        <w:t xml:space="preserve">te </w:t>
      </w:r>
      <w:r>
        <w:t>dostupnosti odgovarajuće zamjenske infrastrukture na predmetnom području.</w:t>
      </w:r>
    </w:p>
    <w:p w14:paraId="58751852" w14:textId="4A64DF38" w:rsidR="00424C6A" w:rsidRPr="00CD6C69" w:rsidRDefault="00424C6A" w:rsidP="00ED1FC2">
      <w:pPr>
        <w:pStyle w:val="Osnovnifont"/>
        <w:spacing w:after="120"/>
        <w:rPr>
          <w:color w:val="auto"/>
        </w:rPr>
      </w:pPr>
      <w:r w:rsidRPr="009878E2">
        <w:rPr>
          <w:color w:val="auto"/>
        </w:rPr>
        <w:t xml:space="preserve">Pri ocjeni prihvatljivosti postupka migracije HAKOM može uzeti u obzir i </w:t>
      </w:r>
      <w:r w:rsidR="007A6823">
        <w:rPr>
          <w:color w:val="auto"/>
        </w:rPr>
        <w:t xml:space="preserve">mogu li </w:t>
      </w:r>
      <w:r w:rsidRPr="009878E2">
        <w:rPr>
          <w:color w:val="auto"/>
        </w:rPr>
        <w:t xml:space="preserve">predloženi </w:t>
      </w:r>
      <w:r w:rsidR="007A6823" w:rsidRPr="007A6823">
        <w:rPr>
          <w:color w:val="auto"/>
        </w:rPr>
        <w:t>troškovni uvjeti migracije predstavljati prepreku prelasku krajnjih korisnika na zamjensku uslugu ili ugroziti kontinuitet korištenja usluga</w:t>
      </w:r>
      <w:r w:rsidRPr="009878E2">
        <w:rPr>
          <w:color w:val="auto"/>
        </w:rPr>
        <w:t>.</w:t>
      </w:r>
    </w:p>
    <w:p w14:paraId="5682156C" w14:textId="03459356" w:rsidR="00CD6C69" w:rsidRPr="00CD6C69" w:rsidRDefault="0079725D" w:rsidP="006B3FBD">
      <w:pPr>
        <w:pStyle w:val="Osnovnifont"/>
        <w:spacing w:after="120"/>
        <w:rPr>
          <w:color w:val="auto"/>
        </w:rPr>
      </w:pPr>
      <w:r w:rsidRPr="0079725D">
        <w:rPr>
          <w:color w:val="auto"/>
        </w:rPr>
        <w:t>Operator je obvezan HAKOM-u dostaviti obavijest koja</w:t>
      </w:r>
      <w:r w:rsidR="004D1AF3">
        <w:rPr>
          <w:color w:val="auto"/>
        </w:rPr>
        <w:t>,</w:t>
      </w:r>
      <w:r w:rsidRPr="0079725D">
        <w:rPr>
          <w:color w:val="auto"/>
        </w:rPr>
        <w:t xml:space="preserve"> uz podatke iz poglavlja 4. Smjernica</w:t>
      </w:r>
      <w:r w:rsidR="004D1AF3">
        <w:rPr>
          <w:color w:val="auto"/>
        </w:rPr>
        <w:t>,</w:t>
      </w:r>
      <w:r w:rsidRPr="0079725D">
        <w:rPr>
          <w:color w:val="auto"/>
        </w:rPr>
        <w:t xml:space="preserve"> mora najmanje sadržavati sljedeće:</w:t>
      </w:r>
    </w:p>
    <w:p w14:paraId="166E6163" w14:textId="7980B0CF" w:rsidR="00712F01" w:rsidRPr="006B3FBD" w:rsidRDefault="00712F01" w:rsidP="006B3FBD">
      <w:pPr>
        <w:pStyle w:val="Osnovnifont"/>
        <w:numPr>
          <w:ilvl w:val="0"/>
          <w:numId w:val="19"/>
        </w:numPr>
        <w:rPr>
          <w:color w:val="auto"/>
        </w:rPr>
      </w:pPr>
      <w:r w:rsidRPr="00712F01">
        <w:rPr>
          <w:color w:val="auto"/>
        </w:rPr>
        <w:t xml:space="preserve">dokaz o nepostojanju aktivnih veleprodajnih korisnika na </w:t>
      </w:r>
      <w:r w:rsidR="006B3FBD">
        <w:rPr>
          <w:color w:val="auto"/>
        </w:rPr>
        <w:t>predmetnom</w:t>
      </w:r>
      <w:r w:rsidR="00C71357">
        <w:rPr>
          <w:color w:val="auto"/>
        </w:rPr>
        <w:t xml:space="preserve"> području</w:t>
      </w:r>
      <w:r w:rsidR="006B3FBD">
        <w:rPr>
          <w:color w:val="auto"/>
        </w:rPr>
        <w:t xml:space="preserve">, </w:t>
      </w:r>
      <w:r w:rsidR="006B3FBD" w:rsidRPr="006B3FBD">
        <w:rPr>
          <w:color w:val="auto"/>
        </w:rPr>
        <w:t>koji može biti dostav</w:t>
      </w:r>
      <w:r w:rsidR="0041477A">
        <w:rPr>
          <w:color w:val="auto"/>
        </w:rPr>
        <w:t>ljen u obliku izjave O</w:t>
      </w:r>
      <w:r w:rsidR="006B3FBD" w:rsidRPr="006B3FBD">
        <w:rPr>
          <w:color w:val="auto"/>
        </w:rPr>
        <w:t>peratora</w:t>
      </w:r>
      <w:r w:rsidR="004107C1">
        <w:rPr>
          <w:color w:val="auto"/>
        </w:rPr>
        <w:t xml:space="preserve"> dane na vlastitu odgovornost</w:t>
      </w:r>
      <w:r w:rsidR="006B3FBD" w:rsidRPr="006B3FBD">
        <w:rPr>
          <w:color w:val="auto"/>
        </w:rPr>
        <w:t>, osim ako HAKOM zatraži dodatnu dokumentaciju,</w:t>
      </w:r>
    </w:p>
    <w:p w14:paraId="4F013C1F" w14:textId="20CD91DA" w:rsidR="006B3FBD" w:rsidRDefault="006B3FBD" w:rsidP="0089048F">
      <w:pPr>
        <w:pStyle w:val="Osnovnifont"/>
        <w:numPr>
          <w:ilvl w:val="0"/>
          <w:numId w:val="19"/>
        </w:numPr>
        <w:rPr>
          <w:color w:val="auto"/>
        </w:rPr>
      </w:pPr>
      <w:r w:rsidRPr="00CD6C69">
        <w:rPr>
          <w:color w:val="auto"/>
        </w:rPr>
        <w:t>podatke o broju aktivnih maloprodajnih korisnika</w:t>
      </w:r>
      <w:r>
        <w:rPr>
          <w:color w:val="auto"/>
        </w:rPr>
        <w:t xml:space="preserve"> </w:t>
      </w:r>
      <w:r w:rsidRPr="00CD6C69">
        <w:rPr>
          <w:color w:val="auto"/>
        </w:rPr>
        <w:t>na predmetnom području</w:t>
      </w:r>
      <w:r>
        <w:rPr>
          <w:color w:val="auto"/>
        </w:rPr>
        <w:t xml:space="preserve"> i o vrstama usluga koje koriste,</w:t>
      </w:r>
    </w:p>
    <w:p w14:paraId="579622FA" w14:textId="72A8ED30" w:rsidR="003D3827" w:rsidRPr="00CD6C69" w:rsidRDefault="008833C2" w:rsidP="008833C2">
      <w:pPr>
        <w:pStyle w:val="Osnovnifont"/>
        <w:numPr>
          <w:ilvl w:val="0"/>
          <w:numId w:val="19"/>
        </w:numPr>
        <w:rPr>
          <w:color w:val="auto"/>
        </w:rPr>
      </w:pPr>
      <w:r w:rsidRPr="008833C2">
        <w:rPr>
          <w:color w:val="auto"/>
        </w:rPr>
        <w:t>informacije o uvjetima korištenja zamjenskih usluga u odnosu na postojeće usluge</w:t>
      </w:r>
      <w:r w:rsidR="003D3827">
        <w:rPr>
          <w:color w:val="auto"/>
        </w:rPr>
        <w:t>,</w:t>
      </w:r>
    </w:p>
    <w:p w14:paraId="17E1AD05" w14:textId="53A1E47C" w:rsidR="008833C2" w:rsidRDefault="005F38FE" w:rsidP="000177A0">
      <w:pPr>
        <w:pStyle w:val="Osnovnifont"/>
        <w:numPr>
          <w:ilvl w:val="0"/>
          <w:numId w:val="19"/>
        </w:numPr>
        <w:spacing w:after="120"/>
        <w:contextualSpacing/>
        <w:rPr>
          <w:color w:val="auto"/>
        </w:rPr>
      </w:pPr>
      <w:r>
        <w:rPr>
          <w:color w:val="auto"/>
        </w:rPr>
        <w:t>p</w:t>
      </w:r>
      <w:r w:rsidRPr="005F38FE">
        <w:rPr>
          <w:color w:val="auto"/>
        </w:rPr>
        <w:t>lan migracije krajnjih korisnika, uključujući faze provedbe</w:t>
      </w:r>
      <w:r w:rsidR="00031237">
        <w:rPr>
          <w:color w:val="auto"/>
        </w:rPr>
        <w:t>,</w:t>
      </w:r>
      <w:r w:rsidRPr="005F38FE">
        <w:rPr>
          <w:color w:val="auto"/>
        </w:rPr>
        <w:t xml:space="preserve"> </w:t>
      </w:r>
      <w:r w:rsidR="00031237">
        <w:rPr>
          <w:color w:val="auto"/>
        </w:rPr>
        <w:t>koje</w:t>
      </w:r>
      <w:r w:rsidR="00291017" w:rsidRPr="00291017">
        <w:rPr>
          <w:color w:val="auto"/>
        </w:rPr>
        <w:t xml:space="preserve"> u pravilu uključuj</w:t>
      </w:r>
      <w:r w:rsidR="00031237">
        <w:rPr>
          <w:color w:val="auto"/>
        </w:rPr>
        <w:t>u</w:t>
      </w:r>
      <w:r w:rsidR="00291017" w:rsidRPr="00291017">
        <w:rPr>
          <w:color w:val="auto"/>
        </w:rPr>
        <w:t xml:space="preserve"> i</w:t>
      </w:r>
      <w:r w:rsidRPr="005F38FE">
        <w:rPr>
          <w:color w:val="auto"/>
        </w:rPr>
        <w:t xml:space="preserve"> faz</w:t>
      </w:r>
      <w:r w:rsidR="00291017">
        <w:rPr>
          <w:color w:val="auto"/>
        </w:rPr>
        <w:t>u</w:t>
      </w:r>
      <w:r w:rsidRPr="005F38FE">
        <w:rPr>
          <w:color w:val="auto"/>
        </w:rPr>
        <w:t xml:space="preserve"> prestanka prodaje </w:t>
      </w:r>
      <w:r w:rsidR="000177A0">
        <w:rPr>
          <w:color w:val="auto"/>
        </w:rPr>
        <w:t>(</w:t>
      </w:r>
      <w:r w:rsidR="000177A0" w:rsidRPr="00815B36">
        <w:rPr>
          <w:color w:val="auto"/>
          <w:lang w:val="en-US"/>
        </w:rPr>
        <w:t>stop-sell</w:t>
      </w:r>
      <w:r w:rsidR="000177A0" w:rsidRPr="000177A0">
        <w:rPr>
          <w:color w:val="auto"/>
        </w:rPr>
        <w:t>)</w:t>
      </w:r>
      <w:r w:rsidR="000177A0">
        <w:rPr>
          <w:color w:val="auto"/>
        </w:rPr>
        <w:t xml:space="preserve"> </w:t>
      </w:r>
      <w:r w:rsidRPr="005F38FE">
        <w:rPr>
          <w:color w:val="auto"/>
        </w:rPr>
        <w:t>usluga na bakrenoj mreži</w:t>
      </w:r>
      <w:r w:rsidR="00AC189C">
        <w:rPr>
          <w:color w:val="auto"/>
        </w:rPr>
        <w:t xml:space="preserve"> na predmetnom području</w:t>
      </w:r>
      <w:r w:rsidRPr="005F38FE">
        <w:rPr>
          <w:color w:val="auto"/>
        </w:rPr>
        <w:t>, vremenski raspored, način informiranja korisnika i postupanje u iznimnim situacijama</w:t>
      </w:r>
      <w:r w:rsidR="0069052F">
        <w:rPr>
          <w:color w:val="auto"/>
        </w:rPr>
        <w:t>,</w:t>
      </w:r>
      <w:r w:rsidR="008833C2" w:rsidRPr="008833C2">
        <w:rPr>
          <w:color w:val="auto"/>
        </w:rPr>
        <w:t xml:space="preserve"> </w:t>
      </w:r>
    </w:p>
    <w:p w14:paraId="7B5ECE7D" w14:textId="5FA9A638" w:rsidR="0069052F" w:rsidRPr="009878E2" w:rsidRDefault="0069052F" w:rsidP="0069052F">
      <w:pPr>
        <w:pStyle w:val="Osnovnifont"/>
        <w:numPr>
          <w:ilvl w:val="0"/>
          <w:numId w:val="19"/>
        </w:numPr>
        <w:spacing w:after="120"/>
        <w:rPr>
          <w:color w:val="auto"/>
        </w:rPr>
      </w:pPr>
      <w:r w:rsidRPr="009878E2">
        <w:rPr>
          <w:color w:val="auto"/>
        </w:rPr>
        <w:t>informacije o troškovima povezanima s migracijom krajnjih korisnika te načinu njihove raspodjele.</w:t>
      </w:r>
    </w:p>
    <w:p w14:paraId="623A4350" w14:textId="0E9966D4" w:rsidR="00EF0B55" w:rsidRPr="00AA67F5" w:rsidRDefault="00CD6C69" w:rsidP="007B5A74">
      <w:pPr>
        <w:pStyle w:val="Osnovnifont"/>
        <w:rPr>
          <w:color w:val="FF0000"/>
        </w:rPr>
      </w:pPr>
      <w:r w:rsidRPr="00CD6C69">
        <w:rPr>
          <w:color w:val="auto"/>
        </w:rPr>
        <w:t>Pri ocjeni prihvatljivosti postupka migracije HAKOM će osobito uzeti u obzir dostupnost zamjenskih usluga, primjerenost rokova migracije, zaštitu prava krajnjih korisnika te osiguravanje kontinuiteta korištenja usluga.</w:t>
      </w:r>
      <w:r w:rsidR="007B5A74">
        <w:rPr>
          <w:color w:val="auto"/>
        </w:rPr>
        <w:t xml:space="preserve"> </w:t>
      </w:r>
      <w:r w:rsidRPr="00CD6C69">
        <w:rPr>
          <w:color w:val="auto"/>
        </w:rPr>
        <w:t xml:space="preserve">Po zaprimanju potpune obavijesti </w:t>
      </w:r>
      <w:r w:rsidR="00BD288F" w:rsidRPr="00BD288F">
        <w:rPr>
          <w:color w:val="auto"/>
        </w:rPr>
        <w:t xml:space="preserve">HAKOM će ocijeniti primjerenost postupka prelaska. </w:t>
      </w:r>
      <w:r w:rsidR="00A22048">
        <w:rPr>
          <w:color w:val="auto"/>
        </w:rPr>
        <w:t>Utvrdi li</w:t>
      </w:r>
      <w:r w:rsidR="00BD288F" w:rsidRPr="00BD288F">
        <w:rPr>
          <w:color w:val="auto"/>
        </w:rPr>
        <w:t xml:space="preserve"> da predloženi postupak osigurava odgovarajuću zaštitu tržišnog natjecanja i prava krajnjih korisnika, HAKOM </w:t>
      </w:r>
      <w:r w:rsidR="008922DA">
        <w:rPr>
          <w:color w:val="auto"/>
        </w:rPr>
        <w:t xml:space="preserve">će o </w:t>
      </w:r>
      <w:r w:rsidR="000F04ED">
        <w:rPr>
          <w:color w:val="auto"/>
        </w:rPr>
        <w:t>tome</w:t>
      </w:r>
      <w:r w:rsidR="008922DA">
        <w:rPr>
          <w:color w:val="auto"/>
        </w:rPr>
        <w:t xml:space="preserve"> obavijestiti Operatora te </w:t>
      </w:r>
      <w:r w:rsidR="00BD288F" w:rsidRPr="00BD288F">
        <w:rPr>
          <w:color w:val="auto"/>
        </w:rPr>
        <w:t xml:space="preserve">neće poduzimati daljnje regulatorne mjere. </w:t>
      </w:r>
      <w:r w:rsidR="00A22048">
        <w:rPr>
          <w:color w:val="auto"/>
        </w:rPr>
        <w:t xml:space="preserve">Utvrdi li </w:t>
      </w:r>
      <w:r w:rsidR="00BD288F" w:rsidRPr="00BD288F">
        <w:rPr>
          <w:color w:val="auto"/>
        </w:rPr>
        <w:t>da je potrebno odrediti dodatne uvjete radi zaštite tržišnog natjecanja ili prava krajnjih korisnika, HAKOM će donijeti odgovarajuću od</w:t>
      </w:r>
      <w:r w:rsidR="00BD288F">
        <w:rPr>
          <w:color w:val="auto"/>
        </w:rPr>
        <w:t>luku sukladno članku 114. ZEK-a</w:t>
      </w:r>
      <w:r w:rsidR="0041477A">
        <w:rPr>
          <w:color w:val="auto"/>
        </w:rPr>
        <w:t xml:space="preserve">. </w:t>
      </w:r>
      <w:r w:rsidR="00A22048">
        <w:rPr>
          <w:color w:val="auto"/>
        </w:rPr>
        <w:t>Ukoliko</w:t>
      </w:r>
      <w:r w:rsidR="00BD288F" w:rsidRPr="00BD288F">
        <w:rPr>
          <w:color w:val="auto"/>
        </w:rPr>
        <w:t xml:space="preserve"> HAKOM donese odluku, </w:t>
      </w:r>
      <w:r w:rsidR="00BD288F">
        <w:rPr>
          <w:color w:val="auto"/>
        </w:rPr>
        <w:t>ona</w:t>
      </w:r>
      <w:r w:rsidR="0041477A">
        <w:rPr>
          <w:color w:val="auto"/>
        </w:rPr>
        <w:t xml:space="preserve"> će biti dostavljena O</w:t>
      </w:r>
      <w:r w:rsidRPr="00CD6C69">
        <w:rPr>
          <w:color w:val="auto"/>
        </w:rPr>
        <w:t>peratoru i javno objavljena na internetskim stranicama HAKOM-a</w:t>
      </w:r>
      <w:r w:rsidR="000F4A38">
        <w:rPr>
          <w:color w:val="auto"/>
        </w:rPr>
        <w:t xml:space="preserve">. </w:t>
      </w:r>
      <w:r w:rsidR="000F4A38" w:rsidRPr="000F4A38">
        <w:rPr>
          <w:color w:val="auto"/>
        </w:rPr>
        <w:t>Potreba za provedbom javnog savjetovanja utvrđuje se u skladu sa ZEK-om, uzimajući u obzir prirodu i</w:t>
      </w:r>
      <w:r w:rsidR="000F4A38">
        <w:rPr>
          <w:color w:val="auto"/>
        </w:rPr>
        <w:t xml:space="preserve"> tržišni učinak konkretne mjere</w:t>
      </w:r>
      <w:r w:rsidR="004847DF" w:rsidRPr="004847DF">
        <w:rPr>
          <w:color w:val="auto"/>
        </w:rPr>
        <w:t>.</w:t>
      </w:r>
      <w:r w:rsidR="00AD671C">
        <w:rPr>
          <w:color w:val="auto"/>
        </w:rPr>
        <w:t xml:space="preserve"> </w:t>
      </w:r>
      <w:r w:rsidR="00847850" w:rsidRPr="00847850">
        <w:rPr>
          <w:color w:val="auto"/>
        </w:rPr>
        <w:t>U ovom scenariju HAKOM u pravilu neće smatrati potrebnim provesti javno savjetovanje, osobito ako ne postoje okolnosti koje bi mogle imati značajniji tržišni učinak.</w:t>
      </w:r>
    </w:p>
    <w:p w14:paraId="4C8DD7E0" w14:textId="4125E09F" w:rsidR="00527569" w:rsidRPr="00527569" w:rsidRDefault="00527569" w:rsidP="00E80AB7">
      <w:pPr>
        <w:pStyle w:val="Podnaslovpoglavlja1"/>
        <w:numPr>
          <w:ilvl w:val="1"/>
          <w:numId w:val="3"/>
        </w:numPr>
      </w:pPr>
      <w:bookmarkStart w:id="35" w:name="_Toc239944261"/>
      <w:r>
        <w:lastRenderedPageBreak/>
        <w:t>Područje na kojem su maloprodajni i veleprodajni korisnici</w:t>
      </w:r>
      <w:bookmarkEnd w:id="35"/>
    </w:p>
    <w:p w14:paraId="78CB4216" w14:textId="181916D4" w:rsidR="008E2D2B" w:rsidRDefault="00424C70" w:rsidP="008E2D2B">
      <w:pPr>
        <w:spacing w:before="0" w:after="120"/>
        <w:jc w:val="both"/>
        <w:rPr>
          <w:color w:val="auto"/>
        </w:rPr>
      </w:pPr>
      <w:r w:rsidRPr="00424C70">
        <w:rPr>
          <w:color w:val="auto"/>
        </w:rPr>
        <w:t>U slučaju kada se planirano gašenje dijela bakrene pristupne mreže odnosi na područje na kojem postoje aktivni maloprodajni i veleprodajni korisnici, HAKOM smatra da je potrebno osigurati posebno pažljivo i postupno planiran postupak migracije. Takav postupak mora omogućiti zaštitu tržišnog natjecanja, kontinuitet pružanja usluga krajnjim korisnicima te operatorima korisnicima veleprodajnih usluga osigurati primjerene uvjete za nastavak poslovanja putem zamjenske infrastrukture.</w:t>
      </w:r>
      <w:r w:rsidR="008F6529">
        <w:rPr>
          <w:color w:val="auto"/>
        </w:rPr>
        <w:t xml:space="preserve"> </w:t>
      </w:r>
      <w:r w:rsidR="00A73D19" w:rsidRPr="00A73D19">
        <w:rPr>
          <w:color w:val="auto"/>
        </w:rPr>
        <w:t>Plan migracije maloprodajnih i veleprodajnih korisnika mora biti međusobno usklađen na način koji osigurava kontinuitet pružanja usluga krajnjim korisnicima bez prekida.</w:t>
      </w:r>
    </w:p>
    <w:p w14:paraId="19DDA495" w14:textId="3C4821E4" w:rsidR="00A73D19" w:rsidRPr="00620585" w:rsidRDefault="0079725D" w:rsidP="003E3236">
      <w:pPr>
        <w:spacing w:before="0" w:after="120"/>
        <w:jc w:val="both"/>
        <w:rPr>
          <w:color w:val="auto"/>
        </w:rPr>
      </w:pPr>
      <w:r w:rsidRPr="0079725D">
        <w:rPr>
          <w:color w:val="auto"/>
        </w:rPr>
        <w:t>Operator je obvezan HAKOM-u dostaviti obavijest koja</w:t>
      </w:r>
      <w:r w:rsidR="00014A43">
        <w:rPr>
          <w:color w:val="auto"/>
        </w:rPr>
        <w:t>,</w:t>
      </w:r>
      <w:r w:rsidRPr="0079725D">
        <w:rPr>
          <w:color w:val="auto"/>
        </w:rPr>
        <w:t xml:space="preserve"> uz podatke iz poglavlja 4. Smjernica</w:t>
      </w:r>
      <w:r w:rsidR="00014A43">
        <w:rPr>
          <w:color w:val="auto"/>
        </w:rPr>
        <w:t>,</w:t>
      </w:r>
      <w:r w:rsidRPr="0079725D">
        <w:rPr>
          <w:color w:val="auto"/>
        </w:rPr>
        <w:t xml:space="preserve"> mora najmanje sadržavati sljedeće:</w:t>
      </w:r>
    </w:p>
    <w:p w14:paraId="5C6DC971" w14:textId="5AA6F33A" w:rsidR="00A73D19" w:rsidRPr="0079725D" w:rsidRDefault="003E3236" w:rsidP="00521D05">
      <w:pPr>
        <w:pStyle w:val="ListParagraph"/>
        <w:numPr>
          <w:ilvl w:val="0"/>
          <w:numId w:val="23"/>
        </w:numPr>
        <w:spacing w:before="0" w:after="120"/>
        <w:ind w:left="714" w:hanging="357"/>
        <w:jc w:val="both"/>
        <w:rPr>
          <w:color w:val="auto"/>
        </w:rPr>
      </w:pPr>
      <w:r w:rsidRPr="00620585">
        <w:rPr>
          <w:color w:val="auto"/>
        </w:rPr>
        <w:t>podatke o broju aktivnih maloprod</w:t>
      </w:r>
      <w:r>
        <w:rPr>
          <w:color w:val="auto"/>
        </w:rPr>
        <w:t xml:space="preserve">ajnih i veleprodajnih korisnika </w:t>
      </w:r>
      <w:r w:rsidR="0041477A">
        <w:rPr>
          <w:color w:val="auto"/>
        </w:rPr>
        <w:t>te</w:t>
      </w:r>
      <w:r>
        <w:rPr>
          <w:color w:val="auto"/>
        </w:rPr>
        <w:t xml:space="preserve"> vrstama usluga koje koriste,</w:t>
      </w:r>
    </w:p>
    <w:p w14:paraId="7AD5E317" w14:textId="229E61F2" w:rsidR="00A73D19" w:rsidRPr="00620585" w:rsidRDefault="0079725D" w:rsidP="00521D05">
      <w:pPr>
        <w:pStyle w:val="ListParagraph"/>
        <w:numPr>
          <w:ilvl w:val="0"/>
          <w:numId w:val="23"/>
        </w:numPr>
        <w:spacing w:before="0" w:after="120"/>
        <w:jc w:val="both"/>
        <w:rPr>
          <w:color w:val="auto"/>
        </w:rPr>
      </w:pPr>
      <w:r w:rsidRPr="008833C2">
        <w:rPr>
          <w:color w:val="auto"/>
        </w:rPr>
        <w:t xml:space="preserve">informacije o uvjetima korištenja </w:t>
      </w:r>
      <w:r w:rsidR="00A73D19" w:rsidRPr="00620585">
        <w:rPr>
          <w:color w:val="auto"/>
        </w:rPr>
        <w:t xml:space="preserve">zamjenskih </w:t>
      </w:r>
      <w:r w:rsidR="00A73D19">
        <w:rPr>
          <w:color w:val="auto"/>
        </w:rPr>
        <w:t xml:space="preserve">maloprodajnih i </w:t>
      </w:r>
      <w:r>
        <w:rPr>
          <w:color w:val="auto"/>
        </w:rPr>
        <w:t xml:space="preserve">veleprodajnih usluga </w:t>
      </w:r>
      <w:r w:rsidRPr="008833C2">
        <w:rPr>
          <w:color w:val="auto"/>
        </w:rPr>
        <w:t>u odnosu na postojeće usluge</w:t>
      </w:r>
      <w:r>
        <w:rPr>
          <w:color w:val="auto"/>
        </w:rPr>
        <w:t>,</w:t>
      </w:r>
    </w:p>
    <w:p w14:paraId="7A75F0E6" w14:textId="5A87A4A2" w:rsidR="00A73D19" w:rsidRPr="0079725D" w:rsidRDefault="003E3236" w:rsidP="00BD288F">
      <w:pPr>
        <w:pStyle w:val="ListParagraph"/>
        <w:numPr>
          <w:ilvl w:val="0"/>
          <w:numId w:val="23"/>
        </w:numPr>
        <w:spacing w:before="0" w:after="120"/>
        <w:jc w:val="both"/>
        <w:rPr>
          <w:color w:val="auto"/>
        </w:rPr>
      </w:pPr>
      <w:r w:rsidRPr="0041477A">
        <w:rPr>
          <w:color w:val="auto"/>
        </w:rPr>
        <w:t>plan migracije maloprodajnih i veleprodajnih korisnika, uključujući</w:t>
      </w:r>
      <w:r w:rsidRPr="0041477A" w:rsidDel="0063763F">
        <w:rPr>
          <w:color w:val="auto"/>
        </w:rPr>
        <w:t xml:space="preserve"> </w:t>
      </w:r>
      <w:r w:rsidR="0063763F" w:rsidRPr="0063763F">
        <w:rPr>
          <w:color w:val="auto"/>
        </w:rPr>
        <w:t>faze provedbe</w:t>
      </w:r>
      <w:r w:rsidR="00031237">
        <w:rPr>
          <w:color w:val="auto"/>
        </w:rPr>
        <w:t>, koje</w:t>
      </w:r>
      <w:r w:rsidR="00291017">
        <w:rPr>
          <w:color w:val="auto"/>
        </w:rPr>
        <w:t xml:space="preserve"> u pravilu </w:t>
      </w:r>
      <w:r w:rsidR="00031237">
        <w:rPr>
          <w:color w:val="auto"/>
        </w:rPr>
        <w:t xml:space="preserve">uključuju </w:t>
      </w:r>
      <w:r w:rsidR="00291017">
        <w:rPr>
          <w:color w:val="auto"/>
        </w:rPr>
        <w:t>i</w:t>
      </w:r>
      <w:r w:rsidR="0063763F" w:rsidRPr="0063763F">
        <w:rPr>
          <w:color w:val="auto"/>
        </w:rPr>
        <w:t xml:space="preserve"> faz</w:t>
      </w:r>
      <w:r w:rsidR="00291017">
        <w:rPr>
          <w:color w:val="auto"/>
        </w:rPr>
        <w:t>u</w:t>
      </w:r>
      <w:r w:rsidR="0063763F" w:rsidRPr="0063763F">
        <w:rPr>
          <w:color w:val="auto"/>
        </w:rPr>
        <w:t xml:space="preserve"> prestanka prodaje </w:t>
      </w:r>
      <w:r w:rsidR="00BD288F" w:rsidRPr="00BD288F">
        <w:rPr>
          <w:color w:val="auto"/>
        </w:rPr>
        <w:t>(</w:t>
      </w:r>
      <w:r w:rsidR="00BD288F" w:rsidRPr="000177A0">
        <w:rPr>
          <w:color w:val="auto"/>
        </w:rPr>
        <w:t>stop-sell</w:t>
      </w:r>
      <w:r w:rsidR="00BD288F" w:rsidRPr="00BD288F">
        <w:rPr>
          <w:color w:val="auto"/>
        </w:rPr>
        <w:t>) usluga na bakrenoj mreži</w:t>
      </w:r>
      <w:r w:rsidR="00031237">
        <w:rPr>
          <w:color w:val="auto"/>
        </w:rPr>
        <w:t xml:space="preserve"> na predmetnom području</w:t>
      </w:r>
      <w:r w:rsidR="0063763F" w:rsidRPr="0063763F">
        <w:rPr>
          <w:color w:val="auto"/>
        </w:rPr>
        <w:t>, vremenski raspored, ovisnosti između aktivnosti te postupanje u iznimnim situacijama</w:t>
      </w:r>
      <w:r w:rsidR="0063763F">
        <w:rPr>
          <w:color w:val="auto"/>
        </w:rPr>
        <w:t>,</w:t>
      </w:r>
    </w:p>
    <w:p w14:paraId="01B0E70B" w14:textId="1108ADD1" w:rsidR="0079725D" w:rsidRPr="00F17D00" w:rsidRDefault="0079725D" w:rsidP="00521D05">
      <w:pPr>
        <w:pStyle w:val="ListParagraph"/>
        <w:numPr>
          <w:ilvl w:val="0"/>
          <w:numId w:val="23"/>
        </w:numPr>
        <w:spacing w:before="0" w:after="120"/>
        <w:jc w:val="both"/>
        <w:rPr>
          <w:color w:val="auto"/>
        </w:rPr>
      </w:pPr>
      <w:r w:rsidRPr="0041477A">
        <w:rPr>
          <w:color w:val="auto"/>
        </w:rPr>
        <w:t xml:space="preserve">informacije o mjerama kojima se osigurava kontinuitet pružanja usluga </w:t>
      </w:r>
      <w:r w:rsidR="00DF3CE1" w:rsidRPr="0041477A">
        <w:rPr>
          <w:color w:val="auto"/>
        </w:rPr>
        <w:t xml:space="preserve">svim </w:t>
      </w:r>
      <w:r w:rsidRPr="0041477A">
        <w:rPr>
          <w:color w:val="auto"/>
        </w:rPr>
        <w:t>krajnji</w:t>
      </w:r>
      <w:r w:rsidR="00DF3CE1" w:rsidRPr="0041477A">
        <w:rPr>
          <w:color w:val="auto"/>
        </w:rPr>
        <w:t>m korisnicima tijekom migracije</w:t>
      </w:r>
      <w:r w:rsidR="00F17D00" w:rsidRPr="0041477A">
        <w:rPr>
          <w:color w:val="auto"/>
        </w:rPr>
        <w:t>,</w:t>
      </w:r>
      <w:r w:rsidR="00DF3CE1" w:rsidRPr="0041477A">
        <w:rPr>
          <w:color w:val="auto"/>
        </w:rPr>
        <w:t xml:space="preserve"> neovisno </w:t>
      </w:r>
      <w:r w:rsidR="000302C6">
        <w:rPr>
          <w:color w:val="auto"/>
        </w:rPr>
        <w:t xml:space="preserve">o tome </w:t>
      </w:r>
      <w:r w:rsidR="00DF3CE1" w:rsidRPr="0041477A">
        <w:rPr>
          <w:color w:val="auto"/>
        </w:rPr>
        <w:t xml:space="preserve">radi li se o korisnicima </w:t>
      </w:r>
      <w:r w:rsidR="00D63DAA" w:rsidRPr="0041477A">
        <w:rPr>
          <w:color w:val="auto"/>
        </w:rPr>
        <w:t>Operatora</w:t>
      </w:r>
      <w:r w:rsidR="00F17D00" w:rsidRPr="0041477A">
        <w:rPr>
          <w:color w:val="auto"/>
        </w:rPr>
        <w:t xml:space="preserve"> </w:t>
      </w:r>
      <w:r w:rsidR="00DF3CE1" w:rsidRPr="0041477A">
        <w:rPr>
          <w:color w:val="auto"/>
        </w:rPr>
        <w:t>ili krajnjim korisnicima operatora korisnika</w:t>
      </w:r>
      <w:r w:rsidR="00D63DAA" w:rsidRPr="0041477A">
        <w:rPr>
          <w:color w:val="auto"/>
        </w:rPr>
        <w:t xml:space="preserve"> veleprodajnih usluga</w:t>
      </w:r>
      <w:r w:rsidR="00F17D00" w:rsidRPr="0041477A">
        <w:rPr>
          <w:color w:val="auto"/>
        </w:rPr>
        <w:t>,</w:t>
      </w:r>
    </w:p>
    <w:p w14:paraId="22836838" w14:textId="227B3EEF" w:rsidR="00712F01" w:rsidRDefault="0079725D" w:rsidP="00521D05">
      <w:pPr>
        <w:pStyle w:val="ListParagraph"/>
        <w:numPr>
          <w:ilvl w:val="0"/>
          <w:numId w:val="23"/>
        </w:numPr>
        <w:spacing w:before="0" w:after="120"/>
        <w:jc w:val="both"/>
        <w:rPr>
          <w:color w:val="auto"/>
        </w:rPr>
      </w:pPr>
      <w:r w:rsidRPr="0041477A">
        <w:rPr>
          <w:color w:val="auto"/>
        </w:rPr>
        <w:t>informacije o tehničkim, operativnim i informacijskim preduvjetima potrebnima operatorima korisnicima veleprodajn</w:t>
      </w:r>
      <w:r w:rsidR="00F17D00" w:rsidRPr="0041477A">
        <w:rPr>
          <w:color w:val="auto"/>
        </w:rPr>
        <w:t>ih usluga za provedbu migracije</w:t>
      </w:r>
      <w:r w:rsidR="00424C6A">
        <w:rPr>
          <w:color w:val="auto"/>
        </w:rPr>
        <w:t>,</w:t>
      </w:r>
    </w:p>
    <w:p w14:paraId="186C1966" w14:textId="39320123" w:rsidR="007C53CC" w:rsidRDefault="00424C6A" w:rsidP="00424C6A">
      <w:pPr>
        <w:pStyle w:val="ListParagraph"/>
        <w:numPr>
          <w:ilvl w:val="0"/>
          <w:numId w:val="23"/>
        </w:numPr>
        <w:spacing w:before="0" w:after="120"/>
        <w:jc w:val="both"/>
        <w:rPr>
          <w:color w:val="auto"/>
        </w:rPr>
      </w:pPr>
      <w:r w:rsidRPr="009878E2">
        <w:rPr>
          <w:color w:val="auto"/>
        </w:rPr>
        <w:t xml:space="preserve">informacije o procijenjenim troškovima povezanim s migracijom i gašenjem bakrene mreže te predloženom načinu njihove raspodjele među </w:t>
      </w:r>
      <w:r w:rsidR="00AE51AA" w:rsidRPr="009878E2">
        <w:rPr>
          <w:color w:val="auto"/>
        </w:rPr>
        <w:t>sudionicima postupka migracije</w:t>
      </w:r>
      <w:r w:rsidR="007C53CC">
        <w:rPr>
          <w:color w:val="auto"/>
        </w:rPr>
        <w:t>,</w:t>
      </w:r>
    </w:p>
    <w:p w14:paraId="052109F7" w14:textId="481CC240" w:rsidR="00424C6A" w:rsidRPr="009878E2" w:rsidRDefault="008860FF" w:rsidP="008860FF">
      <w:pPr>
        <w:pStyle w:val="ListParagraph"/>
        <w:numPr>
          <w:ilvl w:val="0"/>
          <w:numId w:val="23"/>
        </w:numPr>
        <w:spacing w:before="0" w:after="120"/>
        <w:jc w:val="both"/>
        <w:rPr>
          <w:color w:val="auto"/>
        </w:rPr>
      </w:pPr>
      <w:r w:rsidRPr="008860FF">
        <w:rPr>
          <w:color w:val="auto"/>
        </w:rPr>
        <w:t>usporedbu postojećih i zamjenskih veleprodajnih proizvoda, uključujući njihove tehničke značajke, razinu kvalitete usluge i pripadajuće pokazatelje kvalitete (SLA/KPI), cijene, način i mjesto predaje usluge, dostupnost, postupak migracije te poznata ograničenja, razlike i iznimke u odnosu na postojeći proizvod</w:t>
      </w:r>
      <w:r w:rsidR="00AE51AA" w:rsidRPr="009878E2">
        <w:rPr>
          <w:color w:val="auto"/>
        </w:rPr>
        <w:t>.</w:t>
      </w:r>
    </w:p>
    <w:p w14:paraId="4238E532" w14:textId="2D32C477" w:rsidR="00A73D19" w:rsidRDefault="00B70B11" w:rsidP="00A73D19">
      <w:pPr>
        <w:spacing w:before="0" w:after="120"/>
        <w:jc w:val="both"/>
        <w:rPr>
          <w:color w:val="auto"/>
        </w:rPr>
      </w:pPr>
      <w:r w:rsidRPr="00B70B11">
        <w:rPr>
          <w:color w:val="auto"/>
        </w:rPr>
        <w:t>Pri ocjeni prihvatljivosti postupka migracije HAKOM će osobito uzeti u obzir zaštitu tržišnog natjecanja, dostupnost i primjerenost zamjenskih maloprodajnih i veleprodajnih usluga, mogućnost nastavka korištenja funkcionalno usporedivih usluga krajnjim korisnicima, mogućnost operatora korisnika veleprodajnih usluga da nastave pružati usluge svojim krajnjim korisnicima, primjerenost rokova migracije te osiguravanje kontinuiteta pružanja usluga bez neopravdanih prekida.</w:t>
      </w:r>
    </w:p>
    <w:p w14:paraId="25582895" w14:textId="4DAC04B9" w:rsidR="00EE3D4E" w:rsidRDefault="00EE3D4E" w:rsidP="008E2D2B">
      <w:pPr>
        <w:spacing w:before="0" w:after="120"/>
        <w:jc w:val="both"/>
        <w:rPr>
          <w:color w:val="auto"/>
        </w:rPr>
      </w:pPr>
      <w:r>
        <w:rPr>
          <w:color w:val="auto"/>
        </w:rPr>
        <w:t>O</w:t>
      </w:r>
      <w:r w:rsidRPr="00EE3D4E">
        <w:rPr>
          <w:color w:val="auto"/>
        </w:rPr>
        <w:t>perator je obvezan osigurati da uvjeti i rokovi migracije za vlastite maloprodajne korisnike i krajnje korisnike operatora korisnika veleprodajnih usluga budu utemeljeni na načelu nediskriminacije</w:t>
      </w:r>
      <w:r w:rsidR="00446F48">
        <w:rPr>
          <w:color w:val="auto"/>
        </w:rPr>
        <w:t xml:space="preserve"> i transparentnosti</w:t>
      </w:r>
      <w:r>
        <w:rPr>
          <w:color w:val="auto"/>
        </w:rPr>
        <w:t>.</w:t>
      </w:r>
    </w:p>
    <w:p w14:paraId="5B3DF9EF" w14:textId="585736D1" w:rsidR="00424C6A" w:rsidRDefault="00424C6A" w:rsidP="008E2D2B">
      <w:pPr>
        <w:spacing w:before="0" w:after="120"/>
        <w:jc w:val="both"/>
        <w:rPr>
          <w:color w:val="auto"/>
        </w:rPr>
      </w:pPr>
      <w:r w:rsidRPr="009878E2">
        <w:rPr>
          <w:color w:val="auto"/>
        </w:rPr>
        <w:t xml:space="preserve">Pri određivanju uvjeta migracije Operator i operatori korisnici veleprodajnih usluga trebaju </w:t>
      </w:r>
      <w:r w:rsidR="007A6823" w:rsidRPr="007A6823">
        <w:rPr>
          <w:color w:val="auto"/>
        </w:rPr>
        <w:t>voditi računa o tome da troškovni uvjeti migracije ne stvaraju neopravdane prepreke migraciji, ne dovode do diskriminacije te ne ugrožavaju djelotvorno tržišno natjecanje</w:t>
      </w:r>
      <w:r w:rsidRPr="009878E2">
        <w:rPr>
          <w:color w:val="auto"/>
        </w:rPr>
        <w:t xml:space="preserve">. HAKOM će pri ocjeni primjerenosti postupka prelaska </w:t>
      </w:r>
      <w:r w:rsidR="007A6823">
        <w:rPr>
          <w:color w:val="auto"/>
        </w:rPr>
        <w:t xml:space="preserve">osobito </w:t>
      </w:r>
      <w:r w:rsidRPr="009878E2">
        <w:rPr>
          <w:color w:val="auto"/>
        </w:rPr>
        <w:t xml:space="preserve">uzeti u obzir </w:t>
      </w:r>
      <w:r w:rsidR="007A6823">
        <w:rPr>
          <w:color w:val="auto"/>
        </w:rPr>
        <w:t>mogu</w:t>
      </w:r>
      <w:r w:rsidR="007A6823" w:rsidRPr="009878E2">
        <w:rPr>
          <w:color w:val="auto"/>
        </w:rPr>
        <w:t xml:space="preserve"> </w:t>
      </w:r>
      <w:r w:rsidRPr="009878E2">
        <w:rPr>
          <w:color w:val="auto"/>
        </w:rPr>
        <w:t xml:space="preserve">li predloženi </w:t>
      </w:r>
      <w:r w:rsidR="007A6823">
        <w:rPr>
          <w:color w:val="auto"/>
        </w:rPr>
        <w:t xml:space="preserve">troškovni </w:t>
      </w:r>
      <w:r w:rsidRPr="009878E2">
        <w:rPr>
          <w:color w:val="auto"/>
        </w:rPr>
        <w:t xml:space="preserve">uvjeti </w:t>
      </w:r>
      <w:r w:rsidR="007A6823" w:rsidRPr="007A6823">
        <w:rPr>
          <w:color w:val="auto"/>
        </w:rPr>
        <w:t>migracije imati takve učinke</w:t>
      </w:r>
      <w:r w:rsidRPr="009878E2">
        <w:rPr>
          <w:color w:val="auto"/>
        </w:rPr>
        <w:t>.</w:t>
      </w:r>
    </w:p>
    <w:p w14:paraId="39FF0FB0" w14:textId="3068067E" w:rsidR="00EE3D4E" w:rsidRDefault="008E2D2B" w:rsidP="008E2D2B">
      <w:pPr>
        <w:spacing w:before="0" w:after="120"/>
        <w:jc w:val="both"/>
        <w:rPr>
          <w:color w:val="auto"/>
        </w:rPr>
      </w:pPr>
      <w:r w:rsidRPr="008E2D2B">
        <w:rPr>
          <w:color w:val="auto"/>
        </w:rPr>
        <w:lastRenderedPageBreak/>
        <w:t xml:space="preserve">S obzirom na složenost migracije veleprodajnih korisnika i potrebu prilagodbe njihovih mreža, sustava i korisničkih procesa, HAKOM smatra </w:t>
      </w:r>
      <w:r w:rsidR="00CC1182">
        <w:rPr>
          <w:color w:val="auto"/>
        </w:rPr>
        <w:t>primjerenima</w:t>
      </w:r>
      <w:r w:rsidRPr="008E2D2B">
        <w:rPr>
          <w:color w:val="auto"/>
        </w:rPr>
        <w:t xml:space="preserve"> </w:t>
      </w:r>
      <w:r w:rsidR="00CC1182" w:rsidRPr="008E2D2B">
        <w:rPr>
          <w:color w:val="auto"/>
        </w:rPr>
        <w:t>du</w:t>
      </w:r>
      <w:r w:rsidR="00CC1182">
        <w:rPr>
          <w:color w:val="auto"/>
        </w:rPr>
        <w:t>lje</w:t>
      </w:r>
      <w:r w:rsidR="00CC1182" w:rsidRPr="008E2D2B">
        <w:rPr>
          <w:color w:val="auto"/>
        </w:rPr>
        <w:t xml:space="preserve"> rokov</w:t>
      </w:r>
      <w:r w:rsidR="00CC1182">
        <w:rPr>
          <w:color w:val="auto"/>
        </w:rPr>
        <w:t>e</w:t>
      </w:r>
      <w:r w:rsidR="00CC1182" w:rsidRPr="008E2D2B">
        <w:rPr>
          <w:color w:val="auto"/>
        </w:rPr>
        <w:t xml:space="preserve"> </w:t>
      </w:r>
      <w:r w:rsidRPr="008E2D2B">
        <w:rPr>
          <w:color w:val="auto"/>
        </w:rPr>
        <w:t>za najavu i provedbu gašenja u odnosu na scenarij iz poglavlja 5.2.</w:t>
      </w:r>
      <w:r w:rsidR="00EE3D4E">
        <w:rPr>
          <w:color w:val="auto"/>
        </w:rPr>
        <w:t xml:space="preserve"> </w:t>
      </w:r>
    </w:p>
    <w:p w14:paraId="00CF5B88" w14:textId="37E5B8F4" w:rsidR="008E2D2B" w:rsidRPr="008E2D2B" w:rsidRDefault="00446F48" w:rsidP="008E2D2B">
      <w:pPr>
        <w:spacing w:before="0" w:after="120"/>
        <w:jc w:val="both"/>
        <w:rPr>
          <w:color w:val="auto"/>
        </w:rPr>
      </w:pPr>
      <w:r w:rsidRPr="00446F48">
        <w:rPr>
          <w:color w:val="auto"/>
        </w:rPr>
        <w:t xml:space="preserve">Kao dio postupka gašenja Operator </w:t>
      </w:r>
      <w:r w:rsidR="00291017" w:rsidRPr="00291017">
        <w:rPr>
          <w:color w:val="auto"/>
        </w:rPr>
        <w:t>u pravilu uvodi</w:t>
      </w:r>
      <w:r w:rsidRPr="00446F48">
        <w:rPr>
          <w:color w:val="auto"/>
        </w:rPr>
        <w:t xml:space="preserve"> fazu prestanka prodaje (</w:t>
      </w:r>
      <w:r w:rsidRPr="002D3588">
        <w:rPr>
          <w:color w:val="auto"/>
        </w:rPr>
        <w:t>stop-sell</w:t>
      </w:r>
      <w:r w:rsidRPr="00446F48">
        <w:rPr>
          <w:color w:val="auto"/>
        </w:rPr>
        <w:t xml:space="preserve">) usluga na bakrenoj mreži </w:t>
      </w:r>
      <w:r w:rsidR="00AC189C">
        <w:rPr>
          <w:color w:val="auto"/>
        </w:rPr>
        <w:t xml:space="preserve">na predmetnom području </w:t>
      </w:r>
      <w:r w:rsidRPr="00446F48">
        <w:rPr>
          <w:color w:val="auto"/>
        </w:rPr>
        <w:t>prije potpune migracije i gašenja.</w:t>
      </w:r>
      <w:r w:rsidR="002D3588">
        <w:rPr>
          <w:color w:val="auto"/>
        </w:rPr>
        <w:t xml:space="preserve"> </w:t>
      </w:r>
      <w:r w:rsidR="002D3588" w:rsidRPr="002D3588">
        <w:rPr>
          <w:color w:val="auto"/>
        </w:rPr>
        <w:t>HAKOM u pravilu neće smatrati primjerenim postupak migracije u kojem faza prestanka prodaje postojećih veleprodajnih usluga nastupa prije nego što odgovarajući zamjenski veleprodajni proizvod bude stvarno dostupan operatorima korisnicima veleprodajnih usluga te prije nego što im budu dostavljene tehničke, operativne i druge informacije potrebne za planiranje i provedbu migracije.</w:t>
      </w:r>
    </w:p>
    <w:p w14:paraId="05B95C07" w14:textId="2D5261B3" w:rsidR="00EE3D4E" w:rsidRDefault="00A21BB4" w:rsidP="00A73D19">
      <w:pPr>
        <w:spacing w:before="0" w:after="120"/>
        <w:jc w:val="both"/>
        <w:rPr>
          <w:color w:val="auto"/>
        </w:rPr>
      </w:pPr>
      <w:r w:rsidRPr="00A21BB4">
        <w:rPr>
          <w:color w:val="auto"/>
        </w:rPr>
        <w:t>HAKOM smatra da je, kao polazište za ocjenu pravodobnosti obavijesti iz članka 114. ZEK-a u ovom scenariju, primjeren rok za dostavu obavijesti najmanje 30 mjeseci prije planiranog datuma početka gašenja dijela bakrene mreže. Pri ocjeni primjerenosti roka HAKOM može, uzimajući u obzir okolnosti konkretnog slučaja, složenost migracije, utjecaj na operatora korisnika veleprodajnih usluga i potrebe krajnjih korisnika, smatrati primjerenima i drukčije rokove.</w:t>
      </w:r>
      <w:r w:rsidR="002E1D86">
        <w:rPr>
          <w:color w:val="auto"/>
        </w:rPr>
        <w:t xml:space="preserve"> </w:t>
      </w:r>
      <w:r w:rsidR="002E1D86" w:rsidRPr="002E1D86">
        <w:rPr>
          <w:color w:val="auto"/>
        </w:rPr>
        <w:t>HAKOM će nastojati provesti ocjenu potpunosti i primjerenosti zaprimljene obavijesti u rokovima koji omogućuju ostvarivanje očekivanih rokova obavještavanja operatora korisnika veleprodajnih usluga iz ovog poglavlja.</w:t>
      </w:r>
    </w:p>
    <w:p w14:paraId="5F81CD31" w14:textId="35FB9274" w:rsidR="008E2D2B" w:rsidRPr="00620585" w:rsidRDefault="00F11088" w:rsidP="00A73D19">
      <w:pPr>
        <w:spacing w:before="0" w:after="120"/>
        <w:jc w:val="both"/>
        <w:rPr>
          <w:color w:val="auto"/>
        </w:rPr>
      </w:pPr>
      <w:r w:rsidRPr="00F11088">
        <w:rPr>
          <w:color w:val="auto"/>
        </w:rPr>
        <w:t xml:space="preserve">HAKOM smatra da bi operatorima korisnicima veleprodajnih usluga, kao polazište za osiguravanje primjerenog vremena za pripremu i provedbu migracije, obavijest o planiranom gašenju trebalo dostaviti najmanje 24 mjeseca prije planiranog </w:t>
      </w:r>
      <w:r w:rsidR="00CC1182">
        <w:rPr>
          <w:color w:val="auto"/>
        </w:rPr>
        <w:t xml:space="preserve">datuma </w:t>
      </w:r>
      <w:r w:rsidRPr="00F11088">
        <w:rPr>
          <w:color w:val="auto"/>
        </w:rPr>
        <w:t>početka gašenja, nakon što HAKOM ocijeni primjerenost postupka prelaska i, prema potrebi, odredi uvjete. Pri ocjeni primjerenosti roka HAKOM može, uzimajući u obzir okolnosti konkretnog slučaja i složenost migracije, smatrati primjerenima i drukčije rokove.</w:t>
      </w:r>
      <w:r w:rsidR="003A5028">
        <w:rPr>
          <w:color w:val="auto"/>
        </w:rPr>
        <w:t xml:space="preserve"> </w:t>
      </w:r>
      <w:r w:rsidR="00291017" w:rsidRPr="00291017">
        <w:rPr>
          <w:color w:val="auto"/>
        </w:rPr>
        <w:t>Operator je pritom dužan osigurati da obavijest sadrži sve relevantne tehničke, operativne i planirane informacije potrebne za pravodobnu pripremu i provedbu migracije.</w:t>
      </w:r>
      <w:r w:rsidR="00291017">
        <w:rPr>
          <w:color w:val="auto"/>
        </w:rPr>
        <w:t xml:space="preserve"> </w:t>
      </w:r>
      <w:r w:rsidRPr="00F11088">
        <w:rPr>
          <w:color w:val="auto"/>
        </w:rPr>
        <w:t xml:space="preserve">HAKOM smatra da bi </w:t>
      </w:r>
      <w:r w:rsidR="00031237">
        <w:rPr>
          <w:color w:val="auto"/>
        </w:rPr>
        <w:t>o</w:t>
      </w:r>
      <w:r w:rsidR="003A5028" w:rsidRPr="00D63DAA">
        <w:rPr>
          <w:color w:val="auto"/>
        </w:rPr>
        <w:t xml:space="preserve">perator korisnik veleprodajnih usluga </w:t>
      </w:r>
      <w:r>
        <w:rPr>
          <w:color w:val="auto"/>
        </w:rPr>
        <w:t xml:space="preserve">trebao </w:t>
      </w:r>
      <w:r w:rsidR="003A5028" w:rsidRPr="00D63DAA">
        <w:rPr>
          <w:color w:val="auto"/>
        </w:rPr>
        <w:t xml:space="preserve">svoje krajnje korisnike na jasan i pravodoban način obavijestiti najmanje 6 mjeseci prije planiranog </w:t>
      </w:r>
      <w:r w:rsidR="00CC1182">
        <w:rPr>
          <w:color w:val="auto"/>
        </w:rPr>
        <w:t xml:space="preserve">datuma </w:t>
      </w:r>
      <w:r w:rsidR="00311FB0">
        <w:rPr>
          <w:color w:val="auto"/>
        </w:rPr>
        <w:t xml:space="preserve">početka </w:t>
      </w:r>
      <w:r w:rsidR="003A5028" w:rsidRPr="00D63DAA">
        <w:rPr>
          <w:color w:val="auto"/>
        </w:rPr>
        <w:t>gašenja.</w:t>
      </w:r>
    </w:p>
    <w:p w14:paraId="29EE5B01" w14:textId="6D2C7691" w:rsidR="008F6529" w:rsidRPr="008F6529" w:rsidRDefault="004E6341" w:rsidP="008F6529">
      <w:pPr>
        <w:spacing w:before="0" w:after="120"/>
        <w:jc w:val="both"/>
        <w:rPr>
          <w:color w:val="auto"/>
        </w:rPr>
      </w:pPr>
      <w:r w:rsidRPr="004E6341">
        <w:rPr>
          <w:color w:val="auto"/>
        </w:rPr>
        <w:t>U pogledu o</w:t>
      </w:r>
      <w:r w:rsidR="00D63DAA">
        <w:rPr>
          <w:color w:val="auto"/>
        </w:rPr>
        <w:t>bveza O</w:t>
      </w:r>
      <w:r w:rsidRPr="004E6341">
        <w:rPr>
          <w:color w:val="auto"/>
        </w:rPr>
        <w:t>peratora prema krajnjim korisnicima, uključujući rokove, sadržaj obavještavanja te dostupnost i funkcionalnu usporedivost maloprodajnih zamjenskih usluga, primjenjuju se odredbe poglavlja 5.2</w:t>
      </w:r>
      <w:r w:rsidR="000F7C1D">
        <w:rPr>
          <w:color w:val="auto"/>
        </w:rPr>
        <w:t>.</w:t>
      </w:r>
      <w:r w:rsidRPr="004E6341">
        <w:rPr>
          <w:color w:val="auto"/>
        </w:rPr>
        <w:t xml:space="preserve"> Smjernica, osim u dijelu koji se odnosi na posebnosti veleprodajnih odnosa iz ovog poglavlja. Za veleprodajne usluge primjenjuju se posebna pravila utvrđena ovim poglavljem.</w:t>
      </w:r>
      <w:r w:rsidR="003A5028" w:rsidRPr="003A5028">
        <w:rPr>
          <w:color w:val="auto"/>
        </w:rPr>
        <w:t xml:space="preserve"> </w:t>
      </w:r>
    </w:p>
    <w:p w14:paraId="2AD5CBC0" w14:textId="46ED9A2B" w:rsidR="008E2D2B" w:rsidRPr="003A5028" w:rsidRDefault="00B70B11" w:rsidP="003A5028">
      <w:pPr>
        <w:spacing w:before="0" w:after="120"/>
        <w:jc w:val="both"/>
        <w:rPr>
          <w:color w:val="auto"/>
        </w:rPr>
      </w:pPr>
      <w:r w:rsidRPr="00B70B11">
        <w:rPr>
          <w:color w:val="auto"/>
        </w:rPr>
        <w:t xml:space="preserve">HAKOM smatra da se primjerenost zamjenskih veleprodajnih usluga treba procjenjivati prema mogućnosti operatora korisnika veleprodajnih usluga da putem zamjenske infrastrukture nastave pružati funkcionalno usporedive </w:t>
      </w:r>
      <w:r w:rsidR="00EE3D4E">
        <w:rPr>
          <w:color w:val="auto"/>
        </w:rPr>
        <w:t xml:space="preserve">i ekonomski te tehnički replikabilne </w:t>
      </w:r>
      <w:r w:rsidRPr="00B70B11">
        <w:rPr>
          <w:color w:val="auto"/>
        </w:rPr>
        <w:t xml:space="preserve">usluge </w:t>
      </w:r>
      <w:r w:rsidR="00291017">
        <w:rPr>
          <w:color w:val="auto"/>
        </w:rPr>
        <w:t xml:space="preserve">pod usporedivim uvjetima </w:t>
      </w:r>
      <w:r w:rsidRPr="00B70B11">
        <w:rPr>
          <w:color w:val="auto"/>
        </w:rPr>
        <w:t>svojim krajnjim korisnicima.</w:t>
      </w:r>
      <w:r w:rsidR="00620585">
        <w:rPr>
          <w:color w:val="auto"/>
        </w:rPr>
        <w:t xml:space="preserve"> </w:t>
      </w:r>
      <w:r w:rsidR="007C53CC" w:rsidRPr="007C53CC">
        <w:rPr>
          <w:color w:val="auto"/>
        </w:rPr>
        <w:t xml:space="preserve">U tu svrhu </w:t>
      </w:r>
      <w:r w:rsidR="00022487" w:rsidRPr="00022487">
        <w:rPr>
          <w:color w:val="auto"/>
        </w:rPr>
        <w:t>HAKOM može uzeti u obzir usporedbu postojećeg i zamjenskog veleprodajnog proizvoda, osobito u pogledu tehničkih značajki, razine kvalitete usluge i pripadajućih pokazatelja kvalitete (SLA/KPI), cijena, mjesta i načina predaje usluge, dostupnosti zamjenskog proizvoda, uvjeta i rokova migracije te poznatih ograničenja, razlika i iznimaka</w:t>
      </w:r>
      <w:r w:rsidR="00022487">
        <w:rPr>
          <w:color w:val="auto"/>
        </w:rPr>
        <w:t xml:space="preserve"> u odnosu na postojeći proizvod</w:t>
      </w:r>
      <w:r w:rsidR="007C53CC" w:rsidRPr="007C53CC">
        <w:rPr>
          <w:color w:val="auto"/>
        </w:rPr>
        <w:t>.</w:t>
      </w:r>
      <w:r w:rsidR="007C53CC">
        <w:rPr>
          <w:color w:val="auto"/>
        </w:rPr>
        <w:t xml:space="preserve"> </w:t>
      </w:r>
      <w:r w:rsidR="004E6341" w:rsidRPr="004E6341">
        <w:t>Pri provedbi migracije HAKOM će osobito voditi računa o očuvanju postojeće razine tržišnog natjecanja na veleprodajnoj i maloprodajnoj razini, uključujući sprječavanje nastanka neopravdanih tržišnih prednosti ili ograničenja pristupa zamjenskoj infrastrukturi.</w:t>
      </w:r>
      <w:r w:rsidR="00A73D19">
        <w:t xml:space="preserve"> </w:t>
      </w:r>
      <w:r w:rsidR="000C1207" w:rsidRPr="000C1207">
        <w:rPr>
          <w:color w:val="auto"/>
        </w:rPr>
        <w:t xml:space="preserve">Operator je obvezan operatorima korisnicima </w:t>
      </w:r>
      <w:r w:rsidR="008F6529">
        <w:rPr>
          <w:color w:val="auto"/>
        </w:rPr>
        <w:t xml:space="preserve">veleprodajnih usluga </w:t>
      </w:r>
      <w:r w:rsidR="000C1207" w:rsidRPr="000C1207">
        <w:rPr>
          <w:color w:val="auto"/>
        </w:rPr>
        <w:t xml:space="preserve">pravodobno osigurati i odgovarajuće tehničke, operativne i informacijske preduvjete potrebne za provedbu migracije krajnjih korisnika. </w:t>
      </w:r>
    </w:p>
    <w:p w14:paraId="13080A82" w14:textId="32A567CB" w:rsidR="008E2D2B" w:rsidRPr="008E2D2B" w:rsidRDefault="004E6341" w:rsidP="00620585">
      <w:pPr>
        <w:spacing w:before="0" w:after="120"/>
        <w:jc w:val="both"/>
        <w:rPr>
          <w:color w:val="auto"/>
        </w:rPr>
      </w:pPr>
      <w:r>
        <w:rPr>
          <w:color w:val="auto"/>
        </w:rPr>
        <w:lastRenderedPageBreak/>
        <w:t xml:space="preserve">U okviru procjene </w:t>
      </w:r>
      <w:r w:rsidR="008E2D2B" w:rsidRPr="008E2D2B">
        <w:rPr>
          <w:color w:val="auto"/>
        </w:rPr>
        <w:t>prihvatljivosti zamjenskih veleprodajnih usluga HAKOM će osobito uzeti u obzir:</w:t>
      </w:r>
    </w:p>
    <w:p w14:paraId="12E8805E" w14:textId="1847DEF0" w:rsidR="008E2D2B" w:rsidRDefault="008E2D2B" w:rsidP="00620585">
      <w:pPr>
        <w:pStyle w:val="ListParagraph"/>
        <w:numPr>
          <w:ilvl w:val="0"/>
          <w:numId w:val="23"/>
        </w:numPr>
        <w:spacing w:before="120" w:after="60"/>
        <w:jc w:val="both"/>
        <w:rPr>
          <w:color w:val="auto"/>
        </w:rPr>
      </w:pPr>
      <w:r w:rsidRPr="00620585">
        <w:rPr>
          <w:color w:val="auto"/>
        </w:rPr>
        <w:t>dostupnost zamjenske infrastrukture i veleprodajnih proizvoda,</w:t>
      </w:r>
    </w:p>
    <w:p w14:paraId="18404B45" w14:textId="0304D00E" w:rsidR="00614160" w:rsidRPr="00620585" w:rsidRDefault="00614160" w:rsidP="00620585">
      <w:pPr>
        <w:pStyle w:val="ListParagraph"/>
        <w:numPr>
          <w:ilvl w:val="0"/>
          <w:numId w:val="23"/>
        </w:numPr>
        <w:spacing w:before="120" w:after="60"/>
        <w:jc w:val="both"/>
        <w:rPr>
          <w:color w:val="auto"/>
        </w:rPr>
      </w:pPr>
      <w:r>
        <w:t>karakteristike zamjenske infrastrukture na predmetnom području,</w:t>
      </w:r>
    </w:p>
    <w:p w14:paraId="171663DC" w14:textId="573EB0BC" w:rsidR="00614160" w:rsidRDefault="008E2D2B" w:rsidP="00620585">
      <w:pPr>
        <w:pStyle w:val="ListParagraph"/>
        <w:numPr>
          <w:ilvl w:val="0"/>
          <w:numId w:val="23"/>
        </w:numPr>
        <w:spacing w:before="120" w:after="60"/>
        <w:jc w:val="both"/>
        <w:rPr>
          <w:color w:val="auto"/>
        </w:rPr>
      </w:pPr>
      <w:r w:rsidRPr="00620585">
        <w:rPr>
          <w:color w:val="auto"/>
        </w:rPr>
        <w:t xml:space="preserve">mogućnost </w:t>
      </w:r>
      <w:r w:rsidR="00614160">
        <w:rPr>
          <w:color w:val="auto"/>
        </w:rPr>
        <w:t>operatora korisnika veleprodajn</w:t>
      </w:r>
      <w:r w:rsidR="00ED1FC2">
        <w:rPr>
          <w:color w:val="auto"/>
        </w:rPr>
        <w:t>ih usluga</w:t>
      </w:r>
      <w:r w:rsidR="00614160">
        <w:rPr>
          <w:color w:val="auto"/>
        </w:rPr>
        <w:t xml:space="preserve"> da putem zamjenske infrastrukture nastave</w:t>
      </w:r>
      <w:r w:rsidRPr="00620585">
        <w:rPr>
          <w:color w:val="auto"/>
        </w:rPr>
        <w:t xml:space="preserve"> pruža</w:t>
      </w:r>
      <w:r w:rsidR="00614160">
        <w:rPr>
          <w:color w:val="auto"/>
        </w:rPr>
        <w:t>ti</w:t>
      </w:r>
      <w:r w:rsidRPr="00620585">
        <w:rPr>
          <w:color w:val="auto"/>
        </w:rPr>
        <w:t xml:space="preserve"> </w:t>
      </w:r>
      <w:r w:rsidR="00614160">
        <w:rPr>
          <w:color w:val="auto"/>
        </w:rPr>
        <w:t>funkcionalno usporedive maloprodajne usluge krajnjim korisnicima,</w:t>
      </w:r>
    </w:p>
    <w:p w14:paraId="608781B8" w14:textId="5B1461E7" w:rsidR="00614160" w:rsidRDefault="00614160" w:rsidP="00620585">
      <w:pPr>
        <w:pStyle w:val="ListParagraph"/>
        <w:numPr>
          <w:ilvl w:val="0"/>
          <w:numId w:val="23"/>
        </w:numPr>
        <w:spacing w:before="120" w:after="60"/>
        <w:jc w:val="both"/>
        <w:rPr>
          <w:color w:val="auto"/>
        </w:rPr>
      </w:pPr>
      <w:r>
        <w:t>mogućnost nastavka pružanja postojećeg opsega usluga krajnjim korisnicima,</w:t>
      </w:r>
    </w:p>
    <w:p w14:paraId="6F0416CD" w14:textId="4499610A" w:rsidR="008E2D2B" w:rsidRPr="00620585" w:rsidRDefault="008E2D2B" w:rsidP="00620585">
      <w:pPr>
        <w:pStyle w:val="ListParagraph"/>
        <w:numPr>
          <w:ilvl w:val="0"/>
          <w:numId w:val="23"/>
        </w:numPr>
        <w:spacing w:before="120" w:after="60"/>
        <w:jc w:val="both"/>
        <w:rPr>
          <w:color w:val="auto"/>
        </w:rPr>
      </w:pPr>
      <w:r w:rsidRPr="00620585">
        <w:rPr>
          <w:color w:val="auto"/>
        </w:rPr>
        <w:t xml:space="preserve">tehničku </w:t>
      </w:r>
      <w:r w:rsidR="004A461A">
        <w:rPr>
          <w:color w:val="auto"/>
        </w:rPr>
        <w:t xml:space="preserve">i operativnu </w:t>
      </w:r>
      <w:r w:rsidRPr="00620585">
        <w:rPr>
          <w:color w:val="auto"/>
        </w:rPr>
        <w:t>izvedivost migracije,</w:t>
      </w:r>
    </w:p>
    <w:p w14:paraId="0AEB9F9A" w14:textId="38897303" w:rsidR="008E2D2B" w:rsidRDefault="008E2D2B" w:rsidP="00620585">
      <w:pPr>
        <w:pStyle w:val="ListParagraph"/>
        <w:numPr>
          <w:ilvl w:val="0"/>
          <w:numId w:val="23"/>
        </w:numPr>
        <w:spacing w:before="0" w:after="120"/>
        <w:ind w:left="714" w:hanging="357"/>
        <w:jc w:val="both"/>
        <w:rPr>
          <w:color w:val="auto"/>
        </w:rPr>
      </w:pPr>
      <w:r w:rsidRPr="00620585">
        <w:rPr>
          <w:color w:val="auto"/>
        </w:rPr>
        <w:t>primjerenost prijelaznog razdoblja za migraciju korisnika i prilagodbu sustava operatora korisnika</w:t>
      </w:r>
      <w:r w:rsidR="003D6645">
        <w:rPr>
          <w:color w:val="auto"/>
        </w:rPr>
        <w:t xml:space="preserve"> veleprodajnih usluga</w:t>
      </w:r>
      <w:r w:rsidR="00424C6A">
        <w:rPr>
          <w:color w:val="auto"/>
        </w:rPr>
        <w:t>,</w:t>
      </w:r>
    </w:p>
    <w:p w14:paraId="6F2F38B5" w14:textId="0F2E2D2F" w:rsidR="00424C6A" w:rsidRPr="009878E2" w:rsidRDefault="00C60A4F" w:rsidP="00C60A4F">
      <w:pPr>
        <w:pStyle w:val="ListParagraph"/>
        <w:numPr>
          <w:ilvl w:val="0"/>
          <w:numId w:val="23"/>
        </w:numPr>
        <w:spacing w:before="0" w:after="120"/>
        <w:jc w:val="both"/>
        <w:rPr>
          <w:color w:val="auto"/>
        </w:rPr>
      </w:pPr>
      <w:r w:rsidRPr="00C60A4F">
        <w:rPr>
          <w:color w:val="auto"/>
        </w:rPr>
        <w:t>utjecaj predloženih troškovnih uvjeta migracije na djelotvorno tržišno natjecanje i provedbu migracije</w:t>
      </w:r>
      <w:r w:rsidR="00424C6A" w:rsidRPr="009878E2">
        <w:rPr>
          <w:color w:val="auto"/>
        </w:rPr>
        <w:t>.</w:t>
      </w:r>
    </w:p>
    <w:p w14:paraId="134F49FC" w14:textId="31C3015D" w:rsidR="00614160" w:rsidRPr="00614160" w:rsidRDefault="00614160" w:rsidP="00614160">
      <w:pPr>
        <w:spacing w:before="0" w:after="120"/>
        <w:jc w:val="both"/>
        <w:rPr>
          <w:color w:val="auto"/>
        </w:rPr>
      </w:pPr>
      <w:r w:rsidRPr="00614160">
        <w:rPr>
          <w:color w:val="auto"/>
        </w:rPr>
        <w:t>U slučajevima istodobne dostupnosti više zamjenskih infrastrukturnih rješenja, odabir se provodi u skladu s načelima iz poglavlja 4</w:t>
      </w:r>
      <w:r w:rsidR="00666F4A">
        <w:rPr>
          <w:color w:val="auto"/>
        </w:rPr>
        <w:t>.</w:t>
      </w:r>
      <w:r w:rsidRPr="00614160">
        <w:rPr>
          <w:color w:val="auto"/>
        </w:rPr>
        <w:t xml:space="preserve"> Smjernica.</w:t>
      </w:r>
    </w:p>
    <w:p w14:paraId="5292CDBB" w14:textId="50A5DADF" w:rsidR="009866EF" w:rsidRDefault="00B73778" w:rsidP="004A461A">
      <w:pPr>
        <w:spacing w:before="120" w:after="60"/>
        <w:jc w:val="both"/>
        <w:rPr>
          <w:b/>
          <w:sz w:val="36"/>
        </w:rPr>
      </w:pPr>
      <w:r w:rsidRPr="00B73778">
        <w:rPr>
          <w:color w:val="auto"/>
        </w:rPr>
        <w:t xml:space="preserve">Po zaprimanju potpune obavijesti HAKOM će ocijeniti primjerenost predloženog postupka prelaska. </w:t>
      </w:r>
      <w:r w:rsidR="00A22048">
        <w:rPr>
          <w:color w:val="auto"/>
        </w:rPr>
        <w:t xml:space="preserve">Utvrdi li </w:t>
      </w:r>
      <w:r w:rsidRPr="00B73778">
        <w:rPr>
          <w:color w:val="auto"/>
        </w:rPr>
        <w:t xml:space="preserve">da predloženi postupak osigurava odgovarajuću zaštitu tržišnog natjecanja i prava krajnjih korisnika, HAKOM </w:t>
      </w:r>
      <w:r w:rsidR="008922DA">
        <w:rPr>
          <w:color w:val="auto"/>
        </w:rPr>
        <w:t xml:space="preserve">će o </w:t>
      </w:r>
      <w:r w:rsidR="000F04ED">
        <w:rPr>
          <w:color w:val="auto"/>
        </w:rPr>
        <w:t>tome</w:t>
      </w:r>
      <w:r w:rsidR="008922DA">
        <w:rPr>
          <w:color w:val="auto"/>
        </w:rPr>
        <w:t xml:space="preserve"> obavijestiti Operatora</w:t>
      </w:r>
      <w:r w:rsidR="000F04ED">
        <w:rPr>
          <w:color w:val="auto"/>
        </w:rPr>
        <w:t xml:space="preserve"> </w:t>
      </w:r>
      <w:r w:rsidR="000F04ED" w:rsidRPr="00EB1D81">
        <w:rPr>
          <w:color w:val="auto"/>
        </w:rPr>
        <w:t>i operatore korisnike veleprodajnih usluga zahvaćene planiranim gašenjem</w:t>
      </w:r>
      <w:r w:rsidR="008922DA">
        <w:rPr>
          <w:color w:val="auto"/>
        </w:rPr>
        <w:t xml:space="preserve"> te </w:t>
      </w:r>
      <w:r w:rsidRPr="00B73778">
        <w:rPr>
          <w:color w:val="auto"/>
        </w:rPr>
        <w:t xml:space="preserve">neće poduzimati daljnje regulatorne mjere. </w:t>
      </w:r>
      <w:r w:rsidR="00A22048">
        <w:rPr>
          <w:color w:val="auto"/>
        </w:rPr>
        <w:t>Ukoliko</w:t>
      </w:r>
      <w:r w:rsidRPr="00B73778">
        <w:rPr>
          <w:color w:val="auto"/>
        </w:rPr>
        <w:t xml:space="preserve"> utvrdi da je radi zaštite tržišnog natjecanja ili prava krajnjih korisnika potrebno odrediti dodatne uvjete migracije i gašenja dijela bakrene mreže, HAKOM će izraditi prijedlog odluke te, prema potrebi i sukladno ZEK-u, provesti javno savjetovanje. </w:t>
      </w:r>
      <w:r w:rsidR="00A22048">
        <w:rPr>
          <w:color w:val="auto"/>
        </w:rPr>
        <w:t xml:space="preserve">Ukoliko </w:t>
      </w:r>
      <w:r w:rsidRPr="00B73778">
        <w:rPr>
          <w:color w:val="auto"/>
        </w:rPr>
        <w:t>je provedeno javno savjetovanje, HAKOM će nakon njegova završetka i razmatranja zaprimljenih komentara, prema potrebi, izmijeniti prijedlog odluke. HAKOM će potom donijeti konačnu odluku o uvjetima migracije i gašenja dijela bakrene mreže. Konačna odluka bit će dostavljena Operatoru, operatorima korisnicima veleprodajnih usluga zahvaćenima planiranim gašenjem te javno objavljena na internetskim stranicama HAKOM-a.</w:t>
      </w:r>
      <w:r w:rsidR="009866EF">
        <w:br w:type="page"/>
      </w:r>
    </w:p>
    <w:p w14:paraId="21A1B06D" w14:textId="4A9BB59B" w:rsidR="00AA67F5" w:rsidRDefault="00AA67F5" w:rsidP="001767CB">
      <w:pPr>
        <w:pStyle w:val="Nazivpoglavlja"/>
        <w:numPr>
          <w:ilvl w:val="0"/>
          <w:numId w:val="3"/>
        </w:numPr>
      </w:pPr>
      <w:bookmarkStart w:id="36" w:name="_Toc239944262"/>
      <w:r>
        <w:lastRenderedPageBreak/>
        <w:t>Pilot projekti i revizija smjernica</w:t>
      </w:r>
      <w:bookmarkEnd w:id="36"/>
    </w:p>
    <w:p w14:paraId="44B286DD" w14:textId="3066C1FD" w:rsidR="00AA67F5" w:rsidRDefault="004621CA" w:rsidP="00AA67F5">
      <w:pPr>
        <w:pStyle w:val="Osnovnifont"/>
        <w:spacing w:after="120"/>
      </w:pPr>
      <w:r w:rsidRPr="004621CA">
        <w:t>HAKOM podržava mogućnost provedbe pilot projekta</w:t>
      </w:r>
      <w:r w:rsidR="00AA67F5" w:rsidRPr="00AA67F5">
        <w:t xml:space="preserve"> gašenja bakrene pristupne mreže radi provjere i razrade ključnih operativnih, tehničkih i regulatornih aspekata migracije korisnika na zamjensku infrastrukturu.</w:t>
      </w:r>
      <w:r w:rsidR="00EE3D4E">
        <w:t xml:space="preserve"> </w:t>
      </w:r>
      <w:r w:rsidR="00EE3D4E" w:rsidRPr="00EE3D4E">
        <w:t xml:space="preserve">Za potrebe njegove provedbe HAKOM može odrediti posebne ili </w:t>
      </w:r>
      <w:r w:rsidR="00C71357">
        <w:t>drukčije</w:t>
      </w:r>
      <w:r w:rsidR="00EE3D4E" w:rsidRPr="00EE3D4E">
        <w:t xml:space="preserve"> uvjete u odnosu na ove Smjernice.</w:t>
      </w:r>
    </w:p>
    <w:p w14:paraId="245CA9F4" w14:textId="3F13B512" w:rsidR="00AA67F5" w:rsidRDefault="00A5072D" w:rsidP="00AA67F5">
      <w:pPr>
        <w:pStyle w:val="Osnovnifont"/>
        <w:spacing w:after="120"/>
      </w:pPr>
      <w:r w:rsidRPr="00A5072D">
        <w:t>Pilot projekt može obuhvatiti različite scenarije gašenja bakrene mreže, posebno u područjima s maloprodajnim i veleprodajnim korisnicima. Na taj način u stvarnim uvjetima mogu se ispitati najsloženiji postupci migracije korisnika</w:t>
      </w:r>
      <w:r w:rsidR="008F0056">
        <w:t xml:space="preserve">, </w:t>
      </w:r>
      <w:r w:rsidR="008F0056" w:rsidRPr="008F0056">
        <w:t>primjerenost predviđenih rokova migracije</w:t>
      </w:r>
      <w:r w:rsidR="008F0056">
        <w:t xml:space="preserve">, </w:t>
      </w:r>
      <w:r w:rsidRPr="00A5072D">
        <w:t>modeli komunikacije i informiranja</w:t>
      </w:r>
      <w:r w:rsidR="008F0056">
        <w:t xml:space="preserve"> korisnika te drugi operativni i regulatorni aspekti migracije</w:t>
      </w:r>
      <w:r w:rsidRPr="00A5072D">
        <w:t>. Također se mogu analizirati postupci u slučajevima tehničke nemogućnosti migracije</w:t>
      </w:r>
      <w:r w:rsidR="001D09BB">
        <w:t xml:space="preserve"> ili odbijanja zamjenske usluge</w:t>
      </w:r>
      <w:r w:rsidR="001D09BB" w:rsidRPr="001D09BB">
        <w:t xml:space="preserve"> </w:t>
      </w:r>
      <w:r w:rsidR="001D09BB">
        <w:t>te postupanje prema korisnicima s posebnim potrebama i korisnicima koji koriste isključivo govornu uslugu,</w:t>
      </w:r>
      <w:r w:rsidRPr="00A5072D">
        <w:t xml:space="preserve"> kao i primjena alternativnih tehnoloških rješenja kada je to potrebno.</w:t>
      </w:r>
      <w:r w:rsidR="008F0056">
        <w:t xml:space="preserve"> </w:t>
      </w:r>
      <w:r w:rsidR="008F0056" w:rsidRPr="008F0056">
        <w:t>Pilot projekt može poslužiti i za procjenu koordinacije između operatora na veleprodajnoj razini, primjene kriterija za procjenu zamjenskih veleprodajnih proizvoda te potrebnog opsega izvješćivanja tijekom provedbe migracije.</w:t>
      </w:r>
    </w:p>
    <w:p w14:paraId="773AED7F" w14:textId="77777777" w:rsidR="00AA67F5" w:rsidRDefault="00AA67F5" w:rsidP="00AA67F5">
      <w:pPr>
        <w:pStyle w:val="Osnovnifont"/>
        <w:spacing w:after="120"/>
      </w:pPr>
      <w:r>
        <w:t>HAKOM smatra da bi provedba pilot projekta mogla doprinijeti boljem razumijevanju praktičnih izazova povezanih s gašenjem bakrene mreže te omogućiti postupno oblikovanje regulatornog pristupa u skladu sa stvarnim iskustvima i potrebama tržišta.</w:t>
      </w:r>
    </w:p>
    <w:p w14:paraId="262A2F60" w14:textId="328F89C6" w:rsidR="00AA67F5" w:rsidRDefault="00AA67F5" w:rsidP="00AA67F5">
      <w:pPr>
        <w:pStyle w:val="Osnovnifont"/>
        <w:spacing w:after="120"/>
      </w:pPr>
      <w:r>
        <w:t>U tom smislu, operatori mogu HAKOM-u dostaviti prijedloge područja, procedura i rokova migracije te druge relevantne prijedloge vezane uz provedbu pilot projekta.</w:t>
      </w:r>
    </w:p>
    <w:p w14:paraId="6008342D" w14:textId="773D4AF5" w:rsidR="00AA67F5" w:rsidRDefault="00AA67F5" w:rsidP="00174DFA">
      <w:pPr>
        <w:spacing w:before="0" w:after="0"/>
        <w:jc w:val="both"/>
      </w:pPr>
      <w:r>
        <w:t>Na temelju iskustava i saznanja prikupljenih tijekom provedbe pilot projekta</w:t>
      </w:r>
      <w:r w:rsidR="00811914">
        <w:t xml:space="preserve"> </w:t>
      </w:r>
      <w:r w:rsidR="00811914" w:rsidRPr="00174DFA">
        <w:t>te drugih postupaka gašenja bakrene mreže</w:t>
      </w:r>
      <w:r>
        <w:t xml:space="preserve">, HAKOM </w:t>
      </w:r>
      <w:r w:rsidR="00086085">
        <w:t xml:space="preserve">će po potrebi </w:t>
      </w:r>
      <w:r>
        <w:t>revidirati i dopuniti Smjernice te, sukladno članku 114. ZEK-a, odrediti dodatne uvjete za primjeren postupak prelaska radi zaštite tržišnog natjecanja i prava krajnjih korisnika.</w:t>
      </w:r>
    </w:p>
    <w:p w14:paraId="4142B92E" w14:textId="77777777" w:rsidR="00AA67F5" w:rsidRDefault="00AA67F5" w:rsidP="00F0729D">
      <w:pPr>
        <w:pStyle w:val="Osnovnifont"/>
      </w:pPr>
    </w:p>
    <w:p w14:paraId="16ED8DA3" w14:textId="77777777" w:rsidR="009E73DE" w:rsidRDefault="009E73DE" w:rsidP="00F0729D">
      <w:pPr>
        <w:pStyle w:val="Osnovnifont"/>
      </w:pPr>
    </w:p>
    <w:p w14:paraId="000A8FF6" w14:textId="5808C7DE" w:rsidR="00F0729D" w:rsidRDefault="00F0729D" w:rsidP="00F0729D">
      <w:pPr>
        <w:pStyle w:val="Osnovnifont"/>
      </w:pPr>
    </w:p>
    <w:p w14:paraId="0D7CD75B" w14:textId="0C7102A2" w:rsidR="00527569" w:rsidRDefault="00527569" w:rsidP="00306AAB">
      <w:pPr>
        <w:pStyle w:val="Osnovnifont"/>
      </w:pPr>
    </w:p>
    <w:p w14:paraId="667EA736" w14:textId="68521971" w:rsidR="00527569" w:rsidRDefault="00527569" w:rsidP="00306AAB">
      <w:pPr>
        <w:pStyle w:val="Osnovnifont"/>
      </w:pPr>
    </w:p>
    <w:p w14:paraId="30A6DFD7" w14:textId="139E0780" w:rsidR="00527569" w:rsidRDefault="00527569" w:rsidP="00306AAB">
      <w:pPr>
        <w:pStyle w:val="Osnovnifont"/>
      </w:pPr>
    </w:p>
    <w:p w14:paraId="3092822F" w14:textId="0DA4EC91" w:rsidR="00527569" w:rsidRDefault="00527569" w:rsidP="00306AAB">
      <w:pPr>
        <w:pStyle w:val="Osnovnifont"/>
      </w:pPr>
    </w:p>
    <w:p w14:paraId="0B143206" w14:textId="5C2AE8B4" w:rsidR="00527569" w:rsidRDefault="00527569" w:rsidP="00306AAB">
      <w:pPr>
        <w:pStyle w:val="Osnovnifont"/>
      </w:pPr>
    </w:p>
    <w:p w14:paraId="6C15F70B" w14:textId="77777777" w:rsidR="00527569" w:rsidRDefault="00527569" w:rsidP="00527569">
      <w:pPr>
        <w:spacing w:before="120" w:after="60"/>
        <w:jc w:val="both"/>
      </w:pPr>
    </w:p>
    <w:p w14:paraId="3C75D5F9" w14:textId="77777777" w:rsidR="001767CB" w:rsidRDefault="001767CB" w:rsidP="001767CB">
      <w:pPr>
        <w:pStyle w:val="Osnovnifont"/>
      </w:pPr>
      <w:bookmarkStart w:id="37" w:name="_Toc213851540"/>
      <w:bookmarkStart w:id="38" w:name="_Toc213851541"/>
      <w:bookmarkStart w:id="39" w:name="_Toc223503607"/>
    </w:p>
    <w:p w14:paraId="4F196261" w14:textId="77777777" w:rsidR="001767CB" w:rsidRDefault="001767CB" w:rsidP="001767CB">
      <w:pPr>
        <w:pStyle w:val="Heading1"/>
      </w:pPr>
      <w:r>
        <w:br w:type="page"/>
      </w:r>
    </w:p>
    <w:p w14:paraId="23D4A1C9" w14:textId="0F9E8322" w:rsidR="001767CB" w:rsidRDefault="001767CB" w:rsidP="001767CB">
      <w:pPr>
        <w:pStyle w:val="Nazivpoglavlja"/>
        <w:numPr>
          <w:ilvl w:val="0"/>
          <w:numId w:val="3"/>
        </w:numPr>
      </w:pPr>
      <w:bookmarkStart w:id="40" w:name="_Toc239944263"/>
      <w:r w:rsidRPr="00954AC7">
        <w:lastRenderedPageBreak/>
        <w:t>P</w:t>
      </w:r>
      <w:r>
        <w:t>opis tablica</w:t>
      </w:r>
      <w:bookmarkEnd w:id="37"/>
      <w:bookmarkEnd w:id="40"/>
    </w:p>
    <w:p w14:paraId="7E3DA957" w14:textId="60D51567" w:rsidR="008546AB" w:rsidRDefault="00E53A85">
      <w:pPr>
        <w:pStyle w:val="TableofFigures"/>
        <w:tabs>
          <w:tab w:val="right" w:leader="dot" w:pos="9628"/>
        </w:tabs>
        <w:rPr>
          <w:rFonts w:asciiTheme="minorHAnsi" w:eastAsiaTheme="minorEastAsia" w:hAnsiTheme="minorHAnsi" w:cstheme="minorBidi"/>
          <w:noProof/>
          <w:color w:val="auto"/>
          <w:sz w:val="22"/>
          <w:szCs w:val="22"/>
          <w:lang w:val="en-US" w:eastAsia="en-US"/>
        </w:rPr>
      </w:pPr>
      <w:r>
        <w:fldChar w:fldCharType="begin"/>
      </w:r>
      <w:r>
        <w:instrText xml:space="preserve"> TOC \h \z \c "Table" </w:instrText>
      </w:r>
      <w:r>
        <w:fldChar w:fldCharType="separate"/>
      </w:r>
      <w:hyperlink w:anchor="_Toc239944299" w:history="1">
        <w:r w:rsidR="008546AB" w:rsidRPr="00F37AF6">
          <w:rPr>
            <w:rStyle w:val="Hyperlink"/>
            <w:noProof/>
          </w:rPr>
          <w:t>Tablica 1. Podaci o postojanju planova za gašenje bakrene mreže – Izvor: Cullen</w:t>
        </w:r>
        <w:r w:rsidR="008546AB">
          <w:rPr>
            <w:noProof/>
            <w:webHidden/>
          </w:rPr>
          <w:tab/>
        </w:r>
        <w:r w:rsidR="008546AB">
          <w:rPr>
            <w:noProof/>
            <w:webHidden/>
          </w:rPr>
          <w:fldChar w:fldCharType="begin"/>
        </w:r>
        <w:r w:rsidR="008546AB">
          <w:rPr>
            <w:noProof/>
            <w:webHidden/>
          </w:rPr>
          <w:instrText xml:space="preserve"> PAGEREF _Toc239944299 \h </w:instrText>
        </w:r>
        <w:r w:rsidR="008546AB">
          <w:rPr>
            <w:noProof/>
            <w:webHidden/>
          </w:rPr>
        </w:r>
        <w:r w:rsidR="008546AB">
          <w:rPr>
            <w:noProof/>
            <w:webHidden/>
          </w:rPr>
          <w:fldChar w:fldCharType="separate"/>
        </w:r>
        <w:r w:rsidR="008546AB">
          <w:rPr>
            <w:noProof/>
            <w:webHidden/>
          </w:rPr>
          <w:t>10</w:t>
        </w:r>
        <w:r w:rsidR="008546AB">
          <w:rPr>
            <w:noProof/>
            <w:webHidden/>
          </w:rPr>
          <w:fldChar w:fldCharType="end"/>
        </w:r>
      </w:hyperlink>
    </w:p>
    <w:p w14:paraId="1E96739B" w14:textId="7748A9F0"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00" w:history="1">
        <w:r w:rsidR="008546AB" w:rsidRPr="00F37AF6">
          <w:rPr>
            <w:rStyle w:val="Hyperlink"/>
            <w:noProof/>
          </w:rPr>
          <w:t>Tablica 2. Stanje postupka gašenja bakrene mreže po fazama – Izvor: Cullen</w:t>
        </w:r>
        <w:r w:rsidR="008546AB">
          <w:rPr>
            <w:noProof/>
            <w:webHidden/>
          </w:rPr>
          <w:tab/>
        </w:r>
        <w:r w:rsidR="008546AB">
          <w:rPr>
            <w:noProof/>
            <w:webHidden/>
          </w:rPr>
          <w:fldChar w:fldCharType="begin"/>
        </w:r>
        <w:r w:rsidR="008546AB">
          <w:rPr>
            <w:noProof/>
            <w:webHidden/>
          </w:rPr>
          <w:instrText xml:space="preserve"> PAGEREF _Toc239944300 \h </w:instrText>
        </w:r>
        <w:r w:rsidR="008546AB">
          <w:rPr>
            <w:noProof/>
            <w:webHidden/>
          </w:rPr>
        </w:r>
        <w:r w:rsidR="008546AB">
          <w:rPr>
            <w:noProof/>
            <w:webHidden/>
          </w:rPr>
          <w:fldChar w:fldCharType="separate"/>
        </w:r>
        <w:r w:rsidR="008546AB">
          <w:rPr>
            <w:noProof/>
            <w:webHidden/>
          </w:rPr>
          <w:t>11</w:t>
        </w:r>
        <w:r w:rsidR="008546AB">
          <w:rPr>
            <w:noProof/>
            <w:webHidden/>
          </w:rPr>
          <w:fldChar w:fldCharType="end"/>
        </w:r>
      </w:hyperlink>
    </w:p>
    <w:p w14:paraId="0CDDC4AC" w14:textId="72DBE6D4"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01" w:history="1">
        <w:r w:rsidR="008546AB" w:rsidRPr="00F37AF6">
          <w:rPr>
            <w:rStyle w:val="Hyperlink"/>
            <w:noProof/>
          </w:rPr>
          <w:t>Tablica 3. Odobravanje planova od strane regulatora – Izvor: Cullen</w:t>
        </w:r>
        <w:r w:rsidR="008546AB">
          <w:rPr>
            <w:noProof/>
            <w:webHidden/>
          </w:rPr>
          <w:tab/>
        </w:r>
        <w:r w:rsidR="008546AB">
          <w:rPr>
            <w:noProof/>
            <w:webHidden/>
          </w:rPr>
          <w:fldChar w:fldCharType="begin"/>
        </w:r>
        <w:r w:rsidR="008546AB">
          <w:rPr>
            <w:noProof/>
            <w:webHidden/>
          </w:rPr>
          <w:instrText xml:space="preserve"> PAGEREF _Toc239944301 \h </w:instrText>
        </w:r>
        <w:r w:rsidR="008546AB">
          <w:rPr>
            <w:noProof/>
            <w:webHidden/>
          </w:rPr>
        </w:r>
        <w:r w:rsidR="008546AB">
          <w:rPr>
            <w:noProof/>
            <w:webHidden/>
          </w:rPr>
          <w:fldChar w:fldCharType="separate"/>
        </w:r>
        <w:r w:rsidR="008546AB">
          <w:rPr>
            <w:noProof/>
            <w:webHidden/>
          </w:rPr>
          <w:t>11</w:t>
        </w:r>
        <w:r w:rsidR="008546AB">
          <w:rPr>
            <w:noProof/>
            <w:webHidden/>
          </w:rPr>
          <w:fldChar w:fldCharType="end"/>
        </w:r>
      </w:hyperlink>
    </w:p>
    <w:p w14:paraId="32CEB947" w14:textId="06281A94"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02" w:history="1">
        <w:r w:rsidR="008546AB" w:rsidRPr="00F37AF6">
          <w:rPr>
            <w:rStyle w:val="Hyperlink"/>
            <w:noProof/>
          </w:rPr>
          <w:t>Tablica 4. Preduvjeti za uskratu veleprodajnog pristupa na bakrenoj mreži – Izvor: Cullen</w:t>
        </w:r>
        <w:r w:rsidR="008546AB">
          <w:rPr>
            <w:noProof/>
            <w:webHidden/>
          </w:rPr>
          <w:tab/>
        </w:r>
        <w:r w:rsidR="008546AB">
          <w:rPr>
            <w:noProof/>
            <w:webHidden/>
          </w:rPr>
          <w:fldChar w:fldCharType="begin"/>
        </w:r>
        <w:r w:rsidR="008546AB">
          <w:rPr>
            <w:noProof/>
            <w:webHidden/>
          </w:rPr>
          <w:instrText xml:space="preserve"> PAGEREF _Toc239944302 \h </w:instrText>
        </w:r>
        <w:r w:rsidR="008546AB">
          <w:rPr>
            <w:noProof/>
            <w:webHidden/>
          </w:rPr>
        </w:r>
        <w:r w:rsidR="008546AB">
          <w:rPr>
            <w:noProof/>
            <w:webHidden/>
          </w:rPr>
          <w:fldChar w:fldCharType="separate"/>
        </w:r>
        <w:r w:rsidR="008546AB">
          <w:rPr>
            <w:noProof/>
            <w:webHidden/>
          </w:rPr>
          <w:t>11</w:t>
        </w:r>
        <w:r w:rsidR="008546AB">
          <w:rPr>
            <w:noProof/>
            <w:webHidden/>
          </w:rPr>
          <w:fldChar w:fldCharType="end"/>
        </w:r>
      </w:hyperlink>
    </w:p>
    <w:p w14:paraId="3FA69483" w14:textId="7F16C5F0"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03" w:history="1">
        <w:r w:rsidR="008546AB" w:rsidRPr="00F37AF6">
          <w:rPr>
            <w:rStyle w:val="Hyperlink"/>
            <w:noProof/>
          </w:rPr>
          <w:t>Tablica 5. Mogućnost jednostranog raskida ugovora s krajnjim korisnicima – Izvor: Cullen</w:t>
        </w:r>
        <w:r w:rsidR="008546AB">
          <w:rPr>
            <w:noProof/>
            <w:webHidden/>
          </w:rPr>
          <w:tab/>
        </w:r>
        <w:r w:rsidR="008546AB">
          <w:rPr>
            <w:noProof/>
            <w:webHidden/>
          </w:rPr>
          <w:fldChar w:fldCharType="begin"/>
        </w:r>
        <w:r w:rsidR="008546AB">
          <w:rPr>
            <w:noProof/>
            <w:webHidden/>
          </w:rPr>
          <w:instrText xml:space="preserve"> PAGEREF _Toc239944303 \h </w:instrText>
        </w:r>
        <w:r w:rsidR="008546AB">
          <w:rPr>
            <w:noProof/>
            <w:webHidden/>
          </w:rPr>
        </w:r>
        <w:r w:rsidR="008546AB">
          <w:rPr>
            <w:noProof/>
            <w:webHidden/>
          </w:rPr>
          <w:fldChar w:fldCharType="separate"/>
        </w:r>
        <w:r w:rsidR="008546AB">
          <w:rPr>
            <w:noProof/>
            <w:webHidden/>
          </w:rPr>
          <w:t>12</w:t>
        </w:r>
        <w:r w:rsidR="008546AB">
          <w:rPr>
            <w:noProof/>
            <w:webHidden/>
          </w:rPr>
          <w:fldChar w:fldCharType="end"/>
        </w:r>
      </w:hyperlink>
    </w:p>
    <w:p w14:paraId="2F4F5D49" w14:textId="4968CF15" w:rsidR="001767CB" w:rsidRDefault="00E53A85" w:rsidP="001767CB">
      <w:pPr>
        <w:pStyle w:val="Osnovnifont"/>
      </w:pPr>
      <w:r>
        <w:fldChar w:fldCharType="end"/>
      </w:r>
    </w:p>
    <w:p w14:paraId="3DE6FB3A" w14:textId="77777777" w:rsidR="009866EF" w:rsidRDefault="009866EF">
      <w:pPr>
        <w:spacing w:before="120" w:after="60"/>
        <w:jc w:val="both"/>
        <w:rPr>
          <w:b/>
          <w:sz w:val="36"/>
        </w:rPr>
      </w:pPr>
      <w:r>
        <w:br w:type="page"/>
      </w:r>
    </w:p>
    <w:p w14:paraId="21B34674" w14:textId="5C88CE72" w:rsidR="00527569" w:rsidRDefault="00527569" w:rsidP="001767CB">
      <w:pPr>
        <w:pStyle w:val="Nazivpoglavlja"/>
        <w:numPr>
          <w:ilvl w:val="0"/>
          <w:numId w:val="3"/>
        </w:numPr>
      </w:pPr>
      <w:bookmarkStart w:id="41" w:name="_Toc239944264"/>
      <w:r>
        <w:lastRenderedPageBreak/>
        <w:t>P</w:t>
      </w:r>
      <w:r w:rsidR="00A5072D">
        <w:t>opis slika</w:t>
      </w:r>
      <w:bookmarkEnd w:id="38"/>
      <w:bookmarkEnd w:id="39"/>
      <w:bookmarkEnd w:id="41"/>
    </w:p>
    <w:p w14:paraId="2AD8DED0" w14:textId="09D056F1" w:rsidR="008546AB" w:rsidRDefault="00527569">
      <w:pPr>
        <w:pStyle w:val="TableofFigures"/>
        <w:tabs>
          <w:tab w:val="right" w:leader="dot" w:pos="9628"/>
        </w:tabs>
        <w:rPr>
          <w:rFonts w:asciiTheme="minorHAnsi" w:eastAsiaTheme="minorEastAsia" w:hAnsiTheme="minorHAnsi" w:cstheme="minorBidi"/>
          <w:noProof/>
          <w:color w:val="auto"/>
          <w:sz w:val="22"/>
          <w:szCs w:val="22"/>
          <w:lang w:val="en-US" w:eastAsia="en-US"/>
        </w:rPr>
      </w:pPr>
      <w:r>
        <w:fldChar w:fldCharType="begin"/>
      </w:r>
      <w:r>
        <w:instrText xml:space="preserve"> TOC \h \z \c "Slika" </w:instrText>
      </w:r>
      <w:r>
        <w:fldChar w:fldCharType="separate"/>
      </w:r>
      <w:hyperlink w:anchor="_Toc239944335" w:history="1">
        <w:r w:rsidR="008546AB" w:rsidRPr="00C71B65">
          <w:rPr>
            <w:rStyle w:val="Hyperlink"/>
            <w:noProof/>
          </w:rPr>
          <w:t>Slika 1. Ukupna ulaganja u mreže vrlo velikog kapaciteta (VHCN) - Izvor: HAKOM na temelju podataka operatora</w:t>
        </w:r>
        <w:r w:rsidR="008546AB">
          <w:rPr>
            <w:noProof/>
            <w:webHidden/>
          </w:rPr>
          <w:tab/>
        </w:r>
        <w:r w:rsidR="008546AB">
          <w:rPr>
            <w:noProof/>
            <w:webHidden/>
          </w:rPr>
          <w:fldChar w:fldCharType="begin"/>
        </w:r>
        <w:r w:rsidR="008546AB">
          <w:rPr>
            <w:noProof/>
            <w:webHidden/>
          </w:rPr>
          <w:instrText xml:space="preserve"> PAGEREF _Toc239944335 \h </w:instrText>
        </w:r>
        <w:r w:rsidR="008546AB">
          <w:rPr>
            <w:noProof/>
            <w:webHidden/>
          </w:rPr>
        </w:r>
        <w:r w:rsidR="008546AB">
          <w:rPr>
            <w:noProof/>
            <w:webHidden/>
          </w:rPr>
          <w:fldChar w:fldCharType="separate"/>
        </w:r>
        <w:r w:rsidR="008546AB">
          <w:rPr>
            <w:noProof/>
            <w:webHidden/>
          </w:rPr>
          <w:t>4</w:t>
        </w:r>
        <w:r w:rsidR="008546AB">
          <w:rPr>
            <w:noProof/>
            <w:webHidden/>
          </w:rPr>
          <w:fldChar w:fldCharType="end"/>
        </w:r>
      </w:hyperlink>
    </w:p>
    <w:p w14:paraId="5CE88CAE" w14:textId="7AA57C97"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36" w:history="1">
        <w:r w:rsidR="008546AB" w:rsidRPr="00C71B65">
          <w:rPr>
            <w:rStyle w:val="Hyperlink"/>
            <w:noProof/>
          </w:rPr>
          <w:t xml:space="preserve">Slika 2. Pokrivanje VHCN  mrežom – ukupna pokrivenost kućanstava – Izvor: Izvještaj Europske komisije </w:t>
        </w:r>
        <w:r w:rsidR="008546AB" w:rsidRPr="00C71B65">
          <w:rPr>
            <w:rStyle w:val="Hyperlink"/>
            <w:i/>
            <w:noProof/>
          </w:rPr>
          <w:t>Digital Decade 2026</w:t>
        </w:r>
        <w:r w:rsidR="008546AB">
          <w:rPr>
            <w:noProof/>
            <w:webHidden/>
          </w:rPr>
          <w:tab/>
        </w:r>
        <w:r w:rsidR="008546AB">
          <w:rPr>
            <w:noProof/>
            <w:webHidden/>
          </w:rPr>
          <w:fldChar w:fldCharType="begin"/>
        </w:r>
        <w:r w:rsidR="008546AB">
          <w:rPr>
            <w:noProof/>
            <w:webHidden/>
          </w:rPr>
          <w:instrText xml:space="preserve"> PAGEREF _Toc239944336 \h </w:instrText>
        </w:r>
        <w:r w:rsidR="008546AB">
          <w:rPr>
            <w:noProof/>
            <w:webHidden/>
          </w:rPr>
        </w:r>
        <w:r w:rsidR="008546AB">
          <w:rPr>
            <w:noProof/>
            <w:webHidden/>
          </w:rPr>
          <w:fldChar w:fldCharType="separate"/>
        </w:r>
        <w:r w:rsidR="008546AB">
          <w:rPr>
            <w:noProof/>
            <w:webHidden/>
          </w:rPr>
          <w:t>5</w:t>
        </w:r>
        <w:r w:rsidR="008546AB">
          <w:rPr>
            <w:noProof/>
            <w:webHidden/>
          </w:rPr>
          <w:fldChar w:fldCharType="end"/>
        </w:r>
      </w:hyperlink>
    </w:p>
    <w:p w14:paraId="6069E2C0" w14:textId="7735670C"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37" w:history="1">
        <w:r w:rsidR="008546AB" w:rsidRPr="00C71B65">
          <w:rPr>
            <w:rStyle w:val="Hyperlink"/>
            <w:noProof/>
          </w:rPr>
          <w:t xml:space="preserve">Slika 3. Pokrivanje VHCN  mrežom – ruralna pokrivenost kućanstava – Izvor: Izvještaj Europske komisije </w:t>
        </w:r>
        <w:r w:rsidR="008546AB" w:rsidRPr="00C71B65">
          <w:rPr>
            <w:rStyle w:val="Hyperlink"/>
            <w:i/>
            <w:noProof/>
            <w:lang w:val="en-US"/>
          </w:rPr>
          <w:t>Digital Decade 2026</w:t>
        </w:r>
        <w:r w:rsidR="008546AB">
          <w:rPr>
            <w:noProof/>
            <w:webHidden/>
          </w:rPr>
          <w:tab/>
        </w:r>
        <w:r w:rsidR="008546AB">
          <w:rPr>
            <w:noProof/>
            <w:webHidden/>
          </w:rPr>
          <w:fldChar w:fldCharType="begin"/>
        </w:r>
        <w:r w:rsidR="008546AB">
          <w:rPr>
            <w:noProof/>
            <w:webHidden/>
          </w:rPr>
          <w:instrText xml:space="preserve"> PAGEREF _Toc239944337 \h </w:instrText>
        </w:r>
        <w:r w:rsidR="008546AB">
          <w:rPr>
            <w:noProof/>
            <w:webHidden/>
          </w:rPr>
        </w:r>
        <w:r w:rsidR="008546AB">
          <w:rPr>
            <w:noProof/>
            <w:webHidden/>
          </w:rPr>
          <w:fldChar w:fldCharType="separate"/>
        </w:r>
        <w:r w:rsidR="008546AB">
          <w:rPr>
            <w:noProof/>
            <w:webHidden/>
          </w:rPr>
          <w:t>5</w:t>
        </w:r>
        <w:r w:rsidR="008546AB">
          <w:rPr>
            <w:noProof/>
            <w:webHidden/>
          </w:rPr>
          <w:fldChar w:fldCharType="end"/>
        </w:r>
      </w:hyperlink>
    </w:p>
    <w:p w14:paraId="592CBD09" w14:textId="5844CB03"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38" w:history="1">
        <w:r w:rsidR="008546AB" w:rsidRPr="00C71B65">
          <w:rPr>
            <w:rStyle w:val="Hyperlink"/>
            <w:noProof/>
          </w:rPr>
          <w:t>Slika 4. Broj VHCN priključaka u nepokretnoj mreži – Izvor: HAKOM na temelju podataka operatora</w:t>
        </w:r>
        <w:r w:rsidR="008546AB">
          <w:rPr>
            <w:noProof/>
            <w:webHidden/>
          </w:rPr>
          <w:tab/>
        </w:r>
        <w:r w:rsidR="008546AB">
          <w:rPr>
            <w:noProof/>
            <w:webHidden/>
          </w:rPr>
          <w:fldChar w:fldCharType="begin"/>
        </w:r>
        <w:r w:rsidR="008546AB">
          <w:rPr>
            <w:noProof/>
            <w:webHidden/>
          </w:rPr>
          <w:instrText xml:space="preserve"> PAGEREF _Toc239944338 \h </w:instrText>
        </w:r>
        <w:r w:rsidR="008546AB">
          <w:rPr>
            <w:noProof/>
            <w:webHidden/>
          </w:rPr>
        </w:r>
        <w:r w:rsidR="008546AB">
          <w:rPr>
            <w:noProof/>
            <w:webHidden/>
          </w:rPr>
          <w:fldChar w:fldCharType="separate"/>
        </w:r>
        <w:r w:rsidR="008546AB">
          <w:rPr>
            <w:noProof/>
            <w:webHidden/>
          </w:rPr>
          <w:t>6</w:t>
        </w:r>
        <w:r w:rsidR="008546AB">
          <w:rPr>
            <w:noProof/>
            <w:webHidden/>
          </w:rPr>
          <w:fldChar w:fldCharType="end"/>
        </w:r>
      </w:hyperlink>
    </w:p>
    <w:p w14:paraId="245CE195" w14:textId="2C1B7947"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39" w:history="1">
        <w:r w:rsidR="008546AB" w:rsidRPr="00C71B65">
          <w:rPr>
            <w:rStyle w:val="Hyperlink"/>
            <w:noProof/>
          </w:rPr>
          <w:t>Slika 5. Broj širokopojasnih priključaka u nepokretnoj mreži – Izvor: HAKOM na temelju podataka operatora</w:t>
        </w:r>
        <w:r w:rsidR="008546AB">
          <w:rPr>
            <w:noProof/>
            <w:webHidden/>
          </w:rPr>
          <w:tab/>
        </w:r>
        <w:r w:rsidR="008546AB">
          <w:rPr>
            <w:noProof/>
            <w:webHidden/>
          </w:rPr>
          <w:fldChar w:fldCharType="begin"/>
        </w:r>
        <w:r w:rsidR="008546AB">
          <w:rPr>
            <w:noProof/>
            <w:webHidden/>
          </w:rPr>
          <w:instrText xml:space="preserve"> PAGEREF _Toc239944339 \h </w:instrText>
        </w:r>
        <w:r w:rsidR="008546AB">
          <w:rPr>
            <w:noProof/>
            <w:webHidden/>
          </w:rPr>
        </w:r>
        <w:r w:rsidR="008546AB">
          <w:rPr>
            <w:noProof/>
            <w:webHidden/>
          </w:rPr>
          <w:fldChar w:fldCharType="separate"/>
        </w:r>
        <w:r w:rsidR="008546AB">
          <w:rPr>
            <w:noProof/>
            <w:webHidden/>
          </w:rPr>
          <w:t>7</w:t>
        </w:r>
        <w:r w:rsidR="008546AB">
          <w:rPr>
            <w:noProof/>
            <w:webHidden/>
          </w:rPr>
          <w:fldChar w:fldCharType="end"/>
        </w:r>
      </w:hyperlink>
    </w:p>
    <w:p w14:paraId="1A46C668" w14:textId="6BCD8BC3"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40" w:history="1">
        <w:r w:rsidR="008546AB" w:rsidRPr="00C71B65">
          <w:rPr>
            <w:rStyle w:val="Hyperlink"/>
            <w:noProof/>
          </w:rPr>
          <w:t>Slika 6. Broj priključaka samostalne govorne usluge putem bakrene mreže – Izvor: HAKOM na temelju podataka operatora</w:t>
        </w:r>
        <w:r w:rsidR="008546AB">
          <w:rPr>
            <w:noProof/>
            <w:webHidden/>
          </w:rPr>
          <w:tab/>
        </w:r>
        <w:r w:rsidR="008546AB">
          <w:rPr>
            <w:noProof/>
            <w:webHidden/>
          </w:rPr>
          <w:fldChar w:fldCharType="begin"/>
        </w:r>
        <w:r w:rsidR="008546AB">
          <w:rPr>
            <w:noProof/>
            <w:webHidden/>
          </w:rPr>
          <w:instrText xml:space="preserve"> PAGEREF _Toc239944340 \h </w:instrText>
        </w:r>
        <w:r w:rsidR="008546AB">
          <w:rPr>
            <w:noProof/>
            <w:webHidden/>
          </w:rPr>
        </w:r>
        <w:r w:rsidR="008546AB">
          <w:rPr>
            <w:noProof/>
            <w:webHidden/>
          </w:rPr>
          <w:fldChar w:fldCharType="separate"/>
        </w:r>
        <w:r w:rsidR="008546AB">
          <w:rPr>
            <w:noProof/>
            <w:webHidden/>
          </w:rPr>
          <w:t>8</w:t>
        </w:r>
        <w:r w:rsidR="008546AB">
          <w:rPr>
            <w:noProof/>
            <w:webHidden/>
          </w:rPr>
          <w:fldChar w:fldCharType="end"/>
        </w:r>
      </w:hyperlink>
    </w:p>
    <w:p w14:paraId="28363CE1" w14:textId="1F762BFC" w:rsidR="008546AB" w:rsidRDefault="00F45BE1">
      <w:pPr>
        <w:pStyle w:val="TableofFigures"/>
        <w:tabs>
          <w:tab w:val="right" w:leader="dot" w:pos="9628"/>
        </w:tabs>
        <w:rPr>
          <w:rFonts w:asciiTheme="minorHAnsi" w:eastAsiaTheme="minorEastAsia" w:hAnsiTheme="minorHAnsi" w:cstheme="minorBidi"/>
          <w:noProof/>
          <w:color w:val="auto"/>
          <w:sz w:val="22"/>
          <w:szCs w:val="22"/>
          <w:lang w:val="en-US" w:eastAsia="en-US"/>
        </w:rPr>
      </w:pPr>
      <w:hyperlink w:anchor="_Toc239944341" w:history="1">
        <w:r w:rsidR="008546AB" w:rsidRPr="00C71B65">
          <w:rPr>
            <w:rStyle w:val="Hyperlink"/>
            <w:noProof/>
          </w:rPr>
          <w:t>Slika 7. Udjeli priključaka po pristupnim tehnologijama – Izvor: HAKOM na temelju podataka operatora</w:t>
        </w:r>
        <w:r w:rsidR="008546AB">
          <w:rPr>
            <w:noProof/>
            <w:webHidden/>
          </w:rPr>
          <w:tab/>
        </w:r>
        <w:r w:rsidR="008546AB">
          <w:rPr>
            <w:noProof/>
            <w:webHidden/>
          </w:rPr>
          <w:fldChar w:fldCharType="begin"/>
        </w:r>
        <w:r w:rsidR="008546AB">
          <w:rPr>
            <w:noProof/>
            <w:webHidden/>
          </w:rPr>
          <w:instrText xml:space="preserve"> PAGEREF _Toc239944341 \h </w:instrText>
        </w:r>
        <w:r w:rsidR="008546AB">
          <w:rPr>
            <w:noProof/>
            <w:webHidden/>
          </w:rPr>
        </w:r>
        <w:r w:rsidR="008546AB">
          <w:rPr>
            <w:noProof/>
            <w:webHidden/>
          </w:rPr>
          <w:fldChar w:fldCharType="separate"/>
        </w:r>
        <w:r w:rsidR="008546AB">
          <w:rPr>
            <w:noProof/>
            <w:webHidden/>
          </w:rPr>
          <w:t>8</w:t>
        </w:r>
        <w:r w:rsidR="008546AB">
          <w:rPr>
            <w:noProof/>
            <w:webHidden/>
          </w:rPr>
          <w:fldChar w:fldCharType="end"/>
        </w:r>
      </w:hyperlink>
    </w:p>
    <w:p w14:paraId="752E3886" w14:textId="43F65B83" w:rsidR="00527569" w:rsidRPr="00306AAB" w:rsidRDefault="00527569" w:rsidP="00527569">
      <w:pPr>
        <w:pStyle w:val="Osnovnifont"/>
      </w:pPr>
      <w:r>
        <w:rPr>
          <w:b/>
          <w:bCs/>
          <w:noProof/>
          <w:lang w:val="en-US"/>
        </w:rPr>
        <w:fldChar w:fldCharType="end"/>
      </w:r>
    </w:p>
    <w:sectPr w:rsidR="00527569" w:rsidRPr="00306AAB" w:rsidSect="000A6B2D">
      <w:footerReference w:type="default" r:id="rId22"/>
      <w:pgSz w:w="11906" w:h="16838" w:code="9"/>
      <w:pgMar w:top="1418" w:right="1134" w:bottom="1418" w:left="1134" w:header="624" w:footer="240"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43996A" w16cex:dateUtc="2026-09-02T10:46:00Z"/>
  <w16cex:commentExtensible w16cex:durableId="3A6EE5F4" w16cex:dateUtc="2026-09-02T10:47:00Z"/>
  <w16cex:commentExtensible w16cex:durableId="79966F2C" w16cex:dateUtc="2026-09-02T10:54:00Z"/>
  <w16cex:commentExtensible w16cex:durableId="76112354" w16cex:dateUtc="2026-09-02T12:17:00Z"/>
  <w16cex:commentExtensible w16cex:durableId="75D412F6" w16cex:dateUtc="2026-09-02T12:15:00Z"/>
  <w16cex:commentExtensible w16cex:durableId="139AC021" w16cex:dateUtc="2026-09-02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71DC8C" w16cid:durableId="3BEBDB1C"/>
  <w16cid:commentId w16cid:paraId="323DB2FE" w16cid:durableId="269D71BD"/>
  <w16cid:commentId w16cid:paraId="0BFC7D74" w16cid:durableId="7F43996A"/>
  <w16cid:commentId w16cid:paraId="6D95E3CD" w16cid:durableId="47359217"/>
  <w16cid:commentId w16cid:paraId="427FE26A" w16cid:durableId="3A6EE5F4"/>
  <w16cid:commentId w16cid:paraId="1241E4AE" w16cid:durableId="5285335B"/>
  <w16cid:commentId w16cid:paraId="74E2744A" w16cid:durableId="79966F2C"/>
  <w16cid:commentId w16cid:paraId="7489EDB7" w16cid:durableId="332D517E"/>
  <w16cid:commentId w16cid:paraId="0436C55B" w16cid:durableId="76112354"/>
  <w16cid:commentId w16cid:paraId="20D6F611" w16cid:durableId="75D412F6"/>
  <w16cid:commentId w16cid:paraId="5DA50C29" w16cid:durableId="09707EFF"/>
  <w16cid:commentId w16cid:paraId="515C7F0F" w16cid:durableId="139AC02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174BA" w14:textId="77777777" w:rsidR="00F45BE1" w:rsidRDefault="00F45BE1">
      <w:r>
        <w:separator/>
      </w:r>
    </w:p>
  </w:endnote>
  <w:endnote w:type="continuationSeparator" w:id="0">
    <w:p w14:paraId="1ADEDE01" w14:textId="77777777" w:rsidR="00F45BE1" w:rsidRDefault="00F45BE1">
      <w:r>
        <w:continuationSeparator/>
      </w:r>
    </w:p>
  </w:endnote>
  <w:endnote w:type="continuationNotice" w:id="1">
    <w:p w14:paraId="1F06A937" w14:textId="77777777" w:rsidR="00F45BE1" w:rsidRDefault="00F45BE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rbel" w:hAnsi="Corbel"/>
        <w:color w:val="162F65"/>
        <w:sz w:val="24"/>
        <w:szCs w:val="24"/>
      </w:rPr>
      <w:id w:val="183481283"/>
      <w:docPartObj>
        <w:docPartGallery w:val="Page Numbers (Bottom of Page)"/>
        <w:docPartUnique/>
      </w:docPartObj>
    </w:sdtPr>
    <w:sdtEndPr>
      <w:rPr>
        <w:rStyle w:val="OsnovnifontChar"/>
      </w:rPr>
    </w:sdtEndPr>
    <w:sdtContent>
      <w:sdt>
        <w:sdtPr>
          <w:rPr>
            <w:rFonts w:ascii="Corbel" w:hAnsi="Corbel"/>
            <w:color w:val="162F65"/>
            <w:sz w:val="24"/>
            <w:szCs w:val="24"/>
          </w:rPr>
          <w:id w:val="-1352493897"/>
          <w:docPartObj>
            <w:docPartGallery w:val="Page Numbers (Bottom of Page)"/>
            <w:docPartUnique/>
          </w:docPartObj>
        </w:sdtPr>
        <w:sdtEndPr>
          <w:rPr>
            <w:rStyle w:val="OsnovnifontChar"/>
          </w:rPr>
        </w:sdtEndPr>
        <w:sdtContent>
          <w:p w14:paraId="4F2F0D42" w14:textId="66D3B2F4" w:rsidR="00E80AB7" w:rsidRPr="000E0812" w:rsidRDefault="00E80AB7" w:rsidP="00003DCB">
            <w:pPr>
              <w:pStyle w:val="Footer"/>
              <w:spacing w:before="60" w:after="60" w:line="240" w:lineRule="auto"/>
              <w:jc w:val="left"/>
              <w:rPr>
                <w:rStyle w:val="OsnovnifontChar"/>
                <w:color w:val="162F65"/>
                <w:sz w:val="18"/>
                <w:szCs w:val="18"/>
              </w:rPr>
            </w:pPr>
            <w:r w:rsidRPr="000E0812">
              <w:rPr>
                <w:rFonts w:ascii="Corbel" w:hAnsi="Corbel"/>
                <w:color w:val="162F65"/>
                <w:sz w:val="24"/>
                <w:szCs w:val="24"/>
              </w:rPr>
              <w:t>© HAKOM</w:t>
            </w:r>
            <w:r w:rsidRPr="000E0812">
              <w:rPr>
                <w:rStyle w:val="OsnovnifontChar"/>
                <w:color w:val="162F65"/>
              </w:rPr>
              <w:t xml:space="preserve">                                                                                                                                                                          </w:t>
            </w:r>
            <w:r w:rsidRPr="000E0812">
              <w:rPr>
                <w:rStyle w:val="OsnovnifontChar"/>
                <w:color w:val="162F65"/>
              </w:rPr>
              <w:fldChar w:fldCharType="begin"/>
            </w:r>
            <w:r w:rsidRPr="000E0812">
              <w:rPr>
                <w:rStyle w:val="OsnovnifontChar"/>
                <w:color w:val="162F65"/>
              </w:rPr>
              <w:instrText xml:space="preserve"> PAGE   \* MERGEFORMAT </w:instrText>
            </w:r>
            <w:r w:rsidRPr="000E0812">
              <w:rPr>
                <w:rStyle w:val="OsnovnifontChar"/>
                <w:color w:val="162F65"/>
              </w:rPr>
              <w:fldChar w:fldCharType="separate"/>
            </w:r>
            <w:r>
              <w:rPr>
                <w:rStyle w:val="OsnovnifontChar"/>
                <w:noProof/>
                <w:color w:val="162F65"/>
              </w:rPr>
              <w:t>2</w:t>
            </w:r>
            <w:r w:rsidRPr="000E0812">
              <w:rPr>
                <w:rStyle w:val="OsnovnifontChar"/>
                <w:color w:val="162F65"/>
              </w:rPr>
              <w:fldChar w:fldCharType="end"/>
            </w:r>
          </w:p>
        </w:sdtContent>
      </w:sdt>
    </w:sdtContent>
  </w:sdt>
  <w:p w14:paraId="1ED6275D" w14:textId="105DF50A" w:rsidR="00E80AB7" w:rsidRPr="00915512" w:rsidRDefault="00E80AB7" w:rsidP="00915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365E" w14:textId="77777777" w:rsidR="00E80AB7" w:rsidRPr="00731E32" w:rsidRDefault="00E80AB7" w:rsidP="00FD04A3">
    <w:pPr>
      <w:pStyle w:val="Footer"/>
      <w:spacing w:before="60" w:after="60" w:line="240" w:lineRule="auto"/>
      <w:ind w:left="5664"/>
      <w:rPr>
        <w:color w:val="162F65"/>
        <w:sz w:val="12"/>
        <w:szCs w:val="12"/>
      </w:rPr>
    </w:pPr>
    <w:r w:rsidRPr="00731E32">
      <w:rPr>
        <w:rFonts w:ascii="Corbel" w:hAnsi="Corbel"/>
        <w:noProof/>
        <w:color w:val="162F65"/>
        <w:sz w:val="20"/>
        <w:lang w:val="en-US" w:eastAsia="en-US"/>
      </w:rPr>
      <w:drawing>
        <wp:anchor distT="0" distB="0" distL="114300" distR="114300" simplePos="0" relativeHeight="251658242" behindDoc="0" locked="1" layoutInCell="1" allowOverlap="1" wp14:anchorId="1222D47F" wp14:editId="34E02EB2">
          <wp:simplePos x="0" y="0"/>
          <wp:positionH relativeFrom="margin">
            <wp:align>right</wp:align>
          </wp:positionH>
          <wp:positionV relativeFrom="page">
            <wp:posOffset>6127750</wp:posOffset>
          </wp:positionV>
          <wp:extent cx="586800" cy="586800"/>
          <wp:effectExtent l="0" t="0" r="3810" b="3810"/>
          <wp:wrapNone/>
          <wp:docPr id="35" name="Google Shape;63;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oogle Shape;63;p14"/>
                  <pic:cNvPicPr preferRelativeResize="0">
                    <a:picLocks noChangeAspect="1"/>
                  </pic:cNvPicPr>
                </pic:nvPicPr>
                <pic:blipFill>
                  <a:blip r:embed="rId1">
                    <a:alphaModFix/>
                    <a:extLst>
                      <a:ext uri="{28A0092B-C50C-407E-A947-70E740481C1C}">
                        <a14:useLocalDpi xmlns:a14="http://schemas.microsoft.com/office/drawing/2010/main" val="0"/>
                      </a:ext>
                    </a:extLst>
                  </a:blip>
                  <a:stretch>
                    <a:fillRect/>
                  </a:stretch>
                </pic:blipFill>
                <pic:spPr>
                  <a:xfrm>
                    <a:off x="0" y="0"/>
                    <a:ext cx="586800" cy="58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1E32">
      <w:rPr>
        <w:b/>
        <w:noProof/>
        <w:color w:val="162F65"/>
        <w:sz w:val="22"/>
        <w:szCs w:val="22"/>
        <w:lang w:val="en-US" w:eastAsia="en-US"/>
      </w:rPr>
      <w:drawing>
        <wp:anchor distT="0" distB="0" distL="114300" distR="114300" simplePos="0" relativeHeight="251658241" behindDoc="0" locked="1" layoutInCell="1" allowOverlap="1" wp14:anchorId="59F5987E" wp14:editId="5575A190">
          <wp:simplePos x="0" y="0"/>
          <wp:positionH relativeFrom="margin">
            <wp:posOffset>4004310</wp:posOffset>
          </wp:positionH>
          <wp:positionV relativeFrom="page">
            <wp:posOffset>8119110</wp:posOffset>
          </wp:positionV>
          <wp:extent cx="864000" cy="864000"/>
          <wp:effectExtent l="0" t="0" r="0" b="0"/>
          <wp:wrapNone/>
          <wp:docPr id="37" name="Google Shape;63;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oogle Shape;63;p14"/>
                  <pic:cNvPicPr preferRelativeResize="0">
                    <a:picLocks noChangeAspect="1"/>
                  </pic:cNvPicPr>
                </pic:nvPicPr>
                <pic:blipFill>
                  <a:blip r:embed="rId2">
                    <a:alphaModFix/>
                    <a:extLst>
                      <a:ext uri="{28A0092B-C50C-407E-A947-70E740481C1C}">
                        <a14:useLocalDpi xmlns:a14="http://schemas.microsoft.com/office/drawing/2010/main" val="0"/>
                      </a:ext>
                    </a:extLst>
                  </a:blip>
                  <a:stretch>
                    <a:fillRect/>
                  </a:stretch>
                </pic:blipFill>
                <pic:spPr>
                  <a:xfrm>
                    <a:off x="0" y="0"/>
                    <a:ext cx="864000" cy="8640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Fonts w:ascii="Corbel" w:hAnsi="Corbel"/>
        <w:color w:val="162F65"/>
        <w:sz w:val="24"/>
        <w:szCs w:val="24"/>
      </w:rPr>
      <w:id w:val="2054805105"/>
      <w:docPartObj>
        <w:docPartGallery w:val="Page Numbers (Bottom of Page)"/>
        <w:docPartUnique/>
      </w:docPartObj>
    </w:sdtPr>
    <w:sdtEndPr>
      <w:rPr>
        <w:rStyle w:val="OsnovnifontChar"/>
      </w:rPr>
    </w:sdtEndPr>
    <w:sdtContent>
      <w:sdt>
        <w:sdtPr>
          <w:rPr>
            <w:rFonts w:ascii="Corbel" w:hAnsi="Corbel"/>
            <w:color w:val="162F65"/>
            <w:sz w:val="24"/>
            <w:szCs w:val="24"/>
          </w:rPr>
          <w:id w:val="665524622"/>
          <w:docPartObj>
            <w:docPartGallery w:val="Page Numbers (Bottom of Page)"/>
            <w:docPartUnique/>
          </w:docPartObj>
        </w:sdtPr>
        <w:sdtEndPr>
          <w:rPr>
            <w:rStyle w:val="OsnovnifontChar"/>
          </w:rPr>
        </w:sdtEndPr>
        <w:sdtContent>
          <w:p w14:paraId="56442B4A" w14:textId="137CA0C6" w:rsidR="00E80AB7" w:rsidRPr="000E0812" w:rsidRDefault="00E80AB7" w:rsidP="001D10E4">
            <w:pPr>
              <w:pStyle w:val="Footer"/>
              <w:spacing w:before="60" w:after="60" w:line="240" w:lineRule="auto"/>
              <w:jc w:val="left"/>
              <w:rPr>
                <w:rStyle w:val="OsnovnifontChar"/>
                <w:color w:val="162F65"/>
                <w:sz w:val="18"/>
                <w:szCs w:val="18"/>
              </w:rPr>
            </w:pPr>
            <w:r w:rsidRPr="000E0812">
              <w:rPr>
                <w:rFonts w:ascii="Corbel" w:hAnsi="Corbel"/>
                <w:color w:val="162F65"/>
                <w:sz w:val="24"/>
                <w:szCs w:val="24"/>
              </w:rPr>
              <w:t>© HAKOM</w:t>
            </w:r>
            <w:r w:rsidRPr="000E0812">
              <w:rPr>
                <w:rStyle w:val="OsnovnifontChar"/>
                <w:color w:val="162F65"/>
              </w:rPr>
              <w:t xml:space="preserve">                                                                                                                                                                          </w:t>
            </w:r>
          </w:p>
        </w:sdtContent>
      </w:sdt>
    </w:sdtContent>
  </w:sdt>
  <w:p w14:paraId="643A92B8" w14:textId="2F03BB81" w:rsidR="00E80AB7" w:rsidRPr="00D75EBD" w:rsidRDefault="00E80AB7" w:rsidP="001D10E4">
    <w:pPr>
      <w:pStyle w:val="Footer"/>
      <w:jc w:val="left"/>
      <w:rPr>
        <w:rFonts w:ascii="Corbel" w:hAnsi="Corbe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rbel" w:hAnsi="Corbel"/>
        <w:sz w:val="24"/>
        <w:szCs w:val="24"/>
      </w:rPr>
      <w:id w:val="522051438"/>
      <w:docPartObj>
        <w:docPartGallery w:val="Page Numbers (Bottom of Page)"/>
        <w:docPartUnique/>
      </w:docPartObj>
    </w:sdtPr>
    <w:sdtEndPr>
      <w:rPr>
        <w:noProof/>
      </w:rPr>
    </w:sdtEndPr>
    <w:sdtContent>
      <w:p w14:paraId="1A730382" w14:textId="6B861DC1" w:rsidR="00E80AB7" w:rsidRPr="00C35507" w:rsidRDefault="00E80AB7" w:rsidP="00C35507">
        <w:pPr>
          <w:pStyle w:val="Footer"/>
          <w:jc w:val="left"/>
          <w:rPr>
            <w:rFonts w:ascii="Corbel" w:hAnsi="Corbel"/>
            <w:sz w:val="24"/>
            <w:szCs w:val="24"/>
          </w:rPr>
        </w:pPr>
        <w:r w:rsidRPr="00502125">
          <w:rPr>
            <w:rFonts w:ascii="Corbel" w:hAnsi="Corbel"/>
            <w:color w:val="162F65"/>
            <w:sz w:val="24"/>
            <w:szCs w:val="24"/>
          </w:rPr>
          <w:t>© HAKOM</w:t>
        </w:r>
        <w:r w:rsidRPr="00502125">
          <w:rPr>
            <w:rStyle w:val="OsnovnifontChar"/>
            <w:color w:val="162F65"/>
          </w:rPr>
          <w:t xml:space="preserve"> </w:t>
        </w:r>
        <w:r>
          <w:rPr>
            <w:rStyle w:val="OsnovnifontChar"/>
            <w:color w:val="162F65"/>
          </w:rPr>
          <w:t xml:space="preserve">                                                                                                                                                                         </w:t>
        </w:r>
        <w:r w:rsidRPr="00502125">
          <w:rPr>
            <w:rFonts w:ascii="Corbel" w:hAnsi="Corbel"/>
            <w:sz w:val="24"/>
            <w:szCs w:val="24"/>
          </w:rPr>
          <w:fldChar w:fldCharType="begin"/>
        </w:r>
        <w:r w:rsidRPr="00502125">
          <w:rPr>
            <w:rFonts w:ascii="Corbel" w:hAnsi="Corbel"/>
            <w:sz w:val="24"/>
            <w:szCs w:val="24"/>
          </w:rPr>
          <w:instrText xml:space="preserve"> PAGE   \* MERGEFORMAT </w:instrText>
        </w:r>
        <w:r w:rsidRPr="00502125">
          <w:rPr>
            <w:rFonts w:ascii="Corbel" w:hAnsi="Corbel"/>
            <w:sz w:val="24"/>
            <w:szCs w:val="24"/>
          </w:rPr>
          <w:fldChar w:fldCharType="separate"/>
        </w:r>
        <w:r w:rsidR="006628DF">
          <w:rPr>
            <w:rFonts w:ascii="Corbel" w:hAnsi="Corbel"/>
            <w:noProof/>
            <w:sz w:val="24"/>
            <w:szCs w:val="24"/>
          </w:rPr>
          <w:t>17</w:t>
        </w:r>
        <w:r w:rsidRPr="00502125">
          <w:rPr>
            <w:rFonts w:ascii="Corbel" w:hAnsi="Corbel"/>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CDAA2" w14:textId="77777777" w:rsidR="00F45BE1" w:rsidRDefault="00F45BE1">
      <w:r>
        <w:separator/>
      </w:r>
    </w:p>
  </w:footnote>
  <w:footnote w:type="continuationSeparator" w:id="0">
    <w:p w14:paraId="7AFBC9B1" w14:textId="77777777" w:rsidR="00F45BE1" w:rsidRDefault="00F45BE1">
      <w:r>
        <w:continuationSeparator/>
      </w:r>
    </w:p>
  </w:footnote>
  <w:footnote w:type="continuationNotice" w:id="1">
    <w:p w14:paraId="3DACC5AF" w14:textId="77777777" w:rsidR="00F45BE1" w:rsidRDefault="00F45BE1">
      <w:pPr>
        <w:spacing w:before="0" w:after="0"/>
      </w:pPr>
    </w:p>
  </w:footnote>
  <w:footnote w:id="2">
    <w:p w14:paraId="02669232" w14:textId="2196BF45" w:rsidR="00E80AB7" w:rsidRPr="000B1383" w:rsidRDefault="00E80AB7">
      <w:pPr>
        <w:pStyle w:val="FootnoteText"/>
        <w:rPr>
          <w:rFonts w:ascii="Corbel" w:hAnsi="Corbel"/>
          <w:sz w:val="18"/>
          <w:szCs w:val="18"/>
          <w:lang w:val="en-US"/>
        </w:rPr>
      </w:pPr>
      <w:r w:rsidRPr="000B1383">
        <w:rPr>
          <w:rStyle w:val="FootnoteReference"/>
          <w:rFonts w:ascii="Corbel" w:hAnsi="Corbel"/>
          <w:sz w:val="18"/>
          <w:szCs w:val="18"/>
        </w:rPr>
        <w:footnoteRef/>
      </w:r>
      <w:r w:rsidRPr="000B1383">
        <w:rPr>
          <w:rFonts w:ascii="Corbel" w:hAnsi="Corbel"/>
          <w:sz w:val="18"/>
          <w:szCs w:val="18"/>
        </w:rPr>
        <w:t xml:space="preserve"> Data Over Cable Service Interface Specification - Specifikacija sučelja za prijenos podataka putem kabelske usluge</w:t>
      </w:r>
    </w:p>
  </w:footnote>
  <w:footnote w:id="3">
    <w:p w14:paraId="4B40F6D1" w14:textId="0379105E" w:rsidR="00E80AB7" w:rsidRPr="00035E34" w:rsidRDefault="00E80AB7">
      <w:pPr>
        <w:pStyle w:val="FootnoteText"/>
        <w:rPr>
          <w:rFonts w:ascii="Corbel" w:hAnsi="Corbel"/>
          <w:sz w:val="18"/>
          <w:szCs w:val="18"/>
          <w:lang w:val="en-US"/>
        </w:rPr>
      </w:pPr>
      <w:r w:rsidRPr="00035E34">
        <w:rPr>
          <w:rStyle w:val="FootnoteReference"/>
          <w:rFonts w:ascii="Corbel" w:hAnsi="Corbel"/>
          <w:sz w:val="18"/>
          <w:szCs w:val="18"/>
        </w:rPr>
        <w:footnoteRef/>
      </w:r>
      <w:r w:rsidRPr="00035E34">
        <w:rPr>
          <w:rFonts w:ascii="Corbel" w:hAnsi="Corbel"/>
          <w:sz w:val="18"/>
          <w:szCs w:val="18"/>
        </w:rPr>
        <w:t xml:space="preserve"> </w:t>
      </w:r>
      <w:hyperlink r:id="rId1" w:history="1">
        <w:r w:rsidRPr="00035E34">
          <w:rPr>
            <w:rStyle w:val="Hyperlink"/>
            <w:sz w:val="18"/>
            <w:szCs w:val="18"/>
          </w:rPr>
          <w:t>https://digital-decade-desi.digital-strategy.ec.europa.eu/datasets/desi/charts</w:t>
        </w:r>
      </w:hyperlink>
    </w:p>
  </w:footnote>
  <w:footnote w:id="4">
    <w:p w14:paraId="75C17F6E" w14:textId="66769F9E" w:rsidR="00E80AB7" w:rsidRPr="000E1AA7" w:rsidRDefault="00E80AB7">
      <w:pPr>
        <w:pStyle w:val="FootnoteText"/>
        <w:rPr>
          <w:lang w:val="en-US"/>
        </w:rPr>
      </w:pPr>
      <w:r>
        <w:rPr>
          <w:rStyle w:val="FootnoteReference"/>
        </w:rPr>
        <w:footnoteRef/>
      </w:r>
      <w:r>
        <w:t xml:space="preserve"> </w:t>
      </w:r>
      <w:r w:rsidRPr="00B8622D">
        <w:rPr>
          <w:rFonts w:ascii="Corbel" w:hAnsi="Corbel" w:cs="Calibri"/>
          <w:sz w:val="18"/>
          <w:szCs w:val="18"/>
        </w:rPr>
        <w:t>Ruralna područja se definiraju kao područja s gustoćom manjom od 100 ljudi po km</w:t>
      </w:r>
      <w:r w:rsidRPr="00B8622D">
        <w:rPr>
          <w:rFonts w:ascii="Corbel" w:hAnsi="Corbel" w:cs="Calibri"/>
          <w:sz w:val="18"/>
          <w:szCs w:val="18"/>
          <w:vertAlign w:val="superscript"/>
        </w:rPr>
        <w:t>2</w:t>
      </w:r>
    </w:p>
  </w:footnote>
  <w:footnote w:id="5">
    <w:p w14:paraId="38D589D5" w14:textId="249914A0" w:rsidR="00E80AB7" w:rsidRPr="00B8622D" w:rsidRDefault="00E80AB7">
      <w:pPr>
        <w:pStyle w:val="FootnoteText"/>
        <w:rPr>
          <w:lang w:val="en-US"/>
        </w:rPr>
      </w:pPr>
      <w:r>
        <w:rPr>
          <w:rStyle w:val="FootnoteReference"/>
        </w:rPr>
        <w:footnoteRef/>
      </w:r>
      <w:r>
        <w:t xml:space="preserve"> </w:t>
      </w:r>
      <w:hyperlink r:id="rId2" w:history="1">
        <w:r w:rsidRPr="009E12C1">
          <w:rPr>
            <w:rStyle w:val="Hyperlink"/>
            <w:sz w:val="18"/>
            <w:szCs w:val="18"/>
          </w:rPr>
          <w:t>https://eur-lex.europa.eu/legal-content/EN/TXT/?qid=1547633333762&amp;uri=CELEX:32018L1972</w:t>
        </w:r>
      </w:hyperlink>
    </w:p>
  </w:footnote>
  <w:footnote w:id="6">
    <w:p w14:paraId="470D8A55" w14:textId="77777777" w:rsidR="00E80AB7" w:rsidRPr="00B8622D" w:rsidRDefault="00E80AB7" w:rsidP="00CF1D44">
      <w:pPr>
        <w:pStyle w:val="FootnoteText"/>
        <w:rPr>
          <w:lang w:val="en-US"/>
        </w:rPr>
      </w:pPr>
      <w:r>
        <w:rPr>
          <w:rStyle w:val="FootnoteReference"/>
        </w:rPr>
        <w:footnoteRef/>
      </w:r>
      <w:r>
        <w:t xml:space="preserve"> </w:t>
      </w:r>
      <w:hyperlink r:id="rId3" w:history="1">
        <w:r w:rsidRPr="009878E2">
          <w:rPr>
            <w:rStyle w:val="Hyperlink"/>
            <w:sz w:val="18"/>
            <w:szCs w:val="18"/>
          </w:rPr>
          <w:t>https://digital-strategy.ec.europa.eu/hr/library/gigabit-connectivity-recommendation</w:t>
        </w:r>
      </w:hyperlink>
    </w:p>
  </w:footnote>
  <w:footnote w:id="7">
    <w:p w14:paraId="45A61C7D" w14:textId="33F5C3B3" w:rsidR="00E80AB7" w:rsidRPr="009D0BFF" w:rsidRDefault="00E80AB7">
      <w:pPr>
        <w:pStyle w:val="FootnoteText"/>
        <w:rPr>
          <w:rFonts w:ascii="Corbel" w:hAnsi="Corbel"/>
          <w:sz w:val="18"/>
          <w:szCs w:val="18"/>
          <w:lang w:val="en-US"/>
        </w:rPr>
      </w:pPr>
      <w:r w:rsidRPr="009D0BFF">
        <w:rPr>
          <w:rStyle w:val="FootnoteReference"/>
          <w:rFonts w:ascii="Corbel" w:hAnsi="Corbel"/>
          <w:sz w:val="18"/>
          <w:szCs w:val="18"/>
        </w:rPr>
        <w:footnoteRef/>
      </w:r>
      <w:r w:rsidRPr="009D0BFF">
        <w:rPr>
          <w:rFonts w:ascii="Corbel" w:hAnsi="Corbel"/>
          <w:sz w:val="18"/>
          <w:szCs w:val="18"/>
        </w:rPr>
        <w:t xml:space="preserve"> </w:t>
      </w:r>
      <w:hyperlink r:id="rId4" w:history="1">
        <w:r w:rsidRPr="00941B6E">
          <w:rPr>
            <w:rStyle w:val="Hyperlink"/>
            <w:sz w:val="18"/>
            <w:szCs w:val="18"/>
          </w:rPr>
          <w:t>https://digital-strategy.ec.europa.eu/en/library/proposal-regulation-digital-networks-act-dna</w:t>
        </w:r>
      </w:hyperlink>
    </w:p>
  </w:footnote>
  <w:footnote w:id="8">
    <w:p w14:paraId="7B0A28CD" w14:textId="068FB6D7" w:rsidR="00E80AB7" w:rsidRPr="00B8622D" w:rsidRDefault="00E80AB7">
      <w:pPr>
        <w:pStyle w:val="FootnoteText"/>
        <w:rPr>
          <w:lang w:val="en-US"/>
        </w:rPr>
      </w:pPr>
      <w:r>
        <w:rPr>
          <w:rStyle w:val="FootnoteReference"/>
        </w:rPr>
        <w:footnoteRef/>
      </w:r>
      <w:r>
        <w:t xml:space="preserve"> </w:t>
      </w:r>
      <w:hyperlink r:id="rId5" w:history="1">
        <w:r w:rsidRPr="009878E2">
          <w:rPr>
            <w:rStyle w:val="Hyperlink"/>
            <w:sz w:val="18"/>
            <w:szCs w:val="18"/>
          </w:rPr>
          <w:t>https://www.ftthcouncil.eu/resources/all-publications-and-assets/2641/copper-switch-off-tracker-decommissioning-copper-in-the-european-union-norway-switzerland-and-the-united-kingdom</w:t>
        </w:r>
      </w:hyperlink>
    </w:p>
  </w:footnote>
  <w:footnote w:id="9">
    <w:p w14:paraId="4DD8A72C" w14:textId="77777777" w:rsidR="00E80AB7" w:rsidRPr="00901828" w:rsidRDefault="00E80AB7" w:rsidP="00924DE9">
      <w:pPr>
        <w:pStyle w:val="FootnoteText"/>
        <w:rPr>
          <w:lang w:val="en-US"/>
        </w:rPr>
      </w:pPr>
      <w:r>
        <w:rPr>
          <w:rStyle w:val="FootnoteReference"/>
        </w:rPr>
        <w:footnoteRef/>
      </w:r>
      <w:r>
        <w:t xml:space="preserve"> </w:t>
      </w:r>
      <w:hyperlink r:id="rId6" w:history="1">
        <w:r w:rsidRPr="009878E2">
          <w:rPr>
            <w:rStyle w:val="Hyperlink"/>
            <w:sz w:val="18"/>
            <w:szCs w:val="18"/>
          </w:rPr>
          <w:t>https://www.berec.europa.eu/system/files/2025-06/BoR%20%2825%29%2066_BEREC%20Report%20on%20copper%20switch-off_public.pdf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86091" w14:textId="4F8EA567" w:rsidR="00E80AB7" w:rsidRDefault="00E80AB7" w:rsidP="00AC37F5">
    <w:pPr>
      <w:pStyle w:val="ListParagraph"/>
      <w:tabs>
        <w:tab w:val="right" w:pos="9070"/>
      </w:tabs>
      <w:spacing w:before="0" w:after="0"/>
      <w:ind w:left="0"/>
      <w:jc w:val="center"/>
      <w:rPr>
        <w:rStyle w:val="Style2"/>
      </w:rPr>
    </w:pPr>
    <w:r w:rsidRPr="00E206F5">
      <w:rPr>
        <w:noProof/>
        <w:lang w:val="en-US" w:eastAsia="en-US"/>
      </w:rPr>
      <w:drawing>
        <wp:anchor distT="0" distB="0" distL="114300" distR="114300" simplePos="0" relativeHeight="251658244" behindDoc="1" locked="1" layoutInCell="1" allowOverlap="0" wp14:anchorId="44E2686B" wp14:editId="16C9B2B8">
          <wp:simplePos x="0" y="0"/>
          <wp:positionH relativeFrom="margin">
            <wp:align>right</wp:align>
          </wp:positionH>
          <wp:positionV relativeFrom="page">
            <wp:posOffset>288290</wp:posOffset>
          </wp:positionV>
          <wp:extent cx="432000" cy="432000"/>
          <wp:effectExtent l="0" t="0" r="6350" b="6350"/>
          <wp:wrapNone/>
          <wp:docPr id="23" name="Google Shape;63;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oogle Shape;63;p14"/>
                  <pic:cNvPicPr preferRelativeResize="0">
                    <a:picLocks noChangeAspect="1"/>
                  </pic:cNvPicPr>
                </pic:nvPicPr>
                <pic:blipFill>
                  <a:blip r:embed="rId1">
                    <a:alphaModFix/>
                    <a:extLst>
                      <a:ext uri="{28A0092B-C50C-407E-A947-70E740481C1C}">
                        <a14:useLocalDpi xmlns:a14="http://schemas.microsoft.com/office/drawing/2010/main" val="0"/>
                      </a:ext>
                    </a:extLst>
                  </a:blip>
                  <a:stretch>
                    <a:fillRect/>
                  </a:stretch>
                </pic:blipFill>
                <pic:spPr>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58245" behindDoc="1" locked="1" layoutInCell="1" allowOverlap="0" wp14:anchorId="1DE99FEA" wp14:editId="0C8FEEC5">
          <wp:simplePos x="0" y="0"/>
          <wp:positionH relativeFrom="column">
            <wp:posOffset>-2268</wp:posOffset>
          </wp:positionH>
          <wp:positionV relativeFrom="page">
            <wp:posOffset>288290</wp:posOffset>
          </wp:positionV>
          <wp:extent cx="615600" cy="43200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bez rešetki.pn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615600" cy="432000"/>
                  </a:xfrm>
                  <a:prstGeom prst="rect">
                    <a:avLst/>
                  </a:prstGeom>
                </pic:spPr>
              </pic:pic>
            </a:graphicData>
          </a:graphic>
          <wp14:sizeRelH relativeFrom="margin">
            <wp14:pctWidth>0</wp14:pctWidth>
          </wp14:sizeRelH>
          <wp14:sizeRelV relativeFrom="margin">
            <wp14:pctHeight>0</wp14:pctHeight>
          </wp14:sizeRelV>
        </wp:anchor>
      </w:drawing>
    </w:r>
    <w:r>
      <w:rPr>
        <w:rStyle w:val="Style2"/>
      </w:rPr>
      <w:t>Prijedlog za javno savjetovanje</w:t>
    </w:r>
  </w:p>
  <w:p w14:paraId="193D61DF" w14:textId="49706B51" w:rsidR="00E80AB7" w:rsidRPr="00AF78A8" w:rsidRDefault="00E80AB7" w:rsidP="0025743A">
    <w:pPr>
      <w:pStyle w:val="Header"/>
      <w:tabs>
        <w:tab w:val="clear" w:pos="4536"/>
        <w:tab w:val="clear" w:pos="9072"/>
        <w:tab w:val="left" w:pos="780"/>
        <w:tab w:val="center" w:pos="7553"/>
        <w:tab w:val="left" w:pos="9070"/>
      </w:tabs>
      <w:ind w:right="-442"/>
      <w:rPr>
        <w:rFonts w:ascii="Corbel" w:hAnsi="Corbel"/>
      </w:rPr>
    </w:pPr>
    <w:r>
      <w:rPr>
        <w:rStyle w:val="Style2"/>
      </w:rPr>
      <w:tab/>
    </w:r>
    <w:r>
      <w:rPr>
        <w:rFonts w:ascii="Corbel" w:hAnsi="Corbel"/>
        <w:sz w:val="20"/>
      </w:rPr>
      <w:tab/>
    </w:r>
    <w:r>
      <w:rPr>
        <w:rFonts w:ascii="Corbel" w:hAnsi="Corbel"/>
        <w:sz w:val="20"/>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D61E2" w14:textId="15A2927C" w:rsidR="00E80AB7" w:rsidRPr="008E79ED" w:rsidRDefault="00E80AB7" w:rsidP="0088177F">
    <w:pPr>
      <w:pStyle w:val="Header"/>
      <w:tabs>
        <w:tab w:val="clear" w:pos="4536"/>
        <w:tab w:val="clear" w:pos="9072"/>
      </w:tabs>
      <w:ind w:right="-340"/>
      <w:rPr>
        <w:b/>
        <w:sz w:val="22"/>
        <w:szCs w:val="22"/>
      </w:rPr>
    </w:pPr>
    <w:r>
      <w:rPr>
        <w:noProof/>
        <w:sz w:val="20"/>
        <w:szCs w:val="20"/>
        <w:lang w:val="en-US" w:eastAsia="en-US"/>
      </w:rPr>
      <w:drawing>
        <wp:anchor distT="0" distB="0" distL="114300" distR="114300" simplePos="0" relativeHeight="251658240" behindDoc="1" locked="1" layoutInCell="1" allowOverlap="1" wp14:anchorId="1BD3D384" wp14:editId="3DB3665B">
          <wp:simplePos x="0" y="0"/>
          <wp:positionH relativeFrom="page">
            <wp:posOffset>734060</wp:posOffset>
          </wp:positionH>
          <wp:positionV relativeFrom="page">
            <wp:posOffset>2667000</wp:posOffset>
          </wp:positionV>
          <wp:extent cx="6674400" cy="58680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ešetka3.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6674400" cy="5868000"/>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val="en-US" w:eastAsia="en-US"/>
      </w:rPr>
      <w:drawing>
        <wp:anchor distT="0" distB="0" distL="114300" distR="114300" simplePos="0" relativeHeight="251658246" behindDoc="1" locked="1" layoutInCell="1" allowOverlap="1" wp14:anchorId="30C0E31A" wp14:editId="05A1D32A">
          <wp:simplePos x="0" y="0"/>
          <wp:positionH relativeFrom="margin">
            <wp:align>center</wp:align>
          </wp:positionH>
          <wp:positionV relativeFrom="page">
            <wp:posOffset>745490</wp:posOffset>
          </wp:positionV>
          <wp:extent cx="928800" cy="900000"/>
          <wp:effectExtent l="0" t="0" r="508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AKOM logo (s nazivom).pn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928800" cy="900000"/>
                  </a:xfrm>
                  <a:prstGeom prst="rect">
                    <a:avLst/>
                  </a:prstGeom>
                </pic:spPr>
              </pic:pic>
            </a:graphicData>
          </a:graphic>
          <wp14:sizeRelH relativeFrom="margin">
            <wp14:pctWidth>0</wp14:pctWidth>
          </wp14:sizeRelH>
          <wp14:sizeRelV relativeFrom="margin">
            <wp14:pctHeight>0</wp14:pctHeight>
          </wp14:sizeRelV>
        </wp:anchor>
      </w:drawing>
    </w:r>
    <w:r w:rsidRPr="00FE4227">
      <w:rPr>
        <w:b/>
        <w:sz w:val="22"/>
        <w:szCs w:val="22"/>
      </w:rPr>
      <w:t xml:space="preserve"> </w:t>
    </w:r>
    <w:r w:rsidRPr="0007598F">
      <w:rPr>
        <w:b/>
        <w:sz w:val="22"/>
        <w:szCs w:val="22"/>
      </w:rPr>
      <w:t xml:space="preserve">  </w:t>
    </w:r>
    <w:r w:rsidRPr="00FE4227">
      <w:rPr>
        <w:rFonts w:ascii="Corbel" w:hAnsi="Corbel"/>
        <w:noProof/>
        <w:sz w:val="20"/>
        <w:lang w:val="en-US" w:eastAsia="en-US"/>
      </w:rPr>
      <w:drawing>
        <wp:anchor distT="0" distB="0" distL="114300" distR="114300" simplePos="0" relativeHeight="251658243" behindDoc="0" locked="1" layoutInCell="1" allowOverlap="1" wp14:anchorId="284AF63B" wp14:editId="1353AAC1">
          <wp:simplePos x="0" y="0"/>
          <wp:positionH relativeFrom="margin">
            <wp:align>left</wp:align>
          </wp:positionH>
          <wp:positionV relativeFrom="page">
            <wp:posOffset>2635250</wp:posOffset>
          </wp:positionV>
          <wp:extent cx="586800" cy="586800"/>
          <wp:effectExtent l="0" t="0" r="3810" b="3810"/>
          <wp:wrapNone/>
          <wp:docPr id="33" name="Google Shape;63;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oogle Shape;63;p14"/>
                  <pic:cNvPicPr preferRelativeResize="0">
                    <a:picLocks noChangeAspect="1"/>
                  </pic:cNvPicPr>
                </pic:nvPicPr>
                <pic:blipFill>
                  <a:blip r:embed="rId3">
                    <a:alphaModFix/>
                    <a:extLst>
                      <a:ext uri="{28A0092B-C50C-407E-A947-70E740481C1C}">
                        <a14:useLocalDpi xmlns:a14="http://schemas.microsoft.com/office/drawing/2010/main" val="0"/>
                      </a:ext>
                    </a:extLst>
                  </a:blip>
                  <a:stretch>
                    <a:fillRect/>
                  </a:stretch>
                </pic:blipFill>
                <pic:spPr>
                  <a:xfrm>
                    <a:off x="0" y="0"/>
                    <a:ext cx="586800" cy="58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4.5pt;height:50.25pt" o:bullet="t">
        <v:imagedata r:id="rId1" o:title="Bullet HAKOM"/>
      </v:shape>
    </w:pict>
  </w:numPicBullet>
  <w:abstractNum w:abstractNumId="0" w15:restartNumberingAfterBreak="0">
    <w:nsid w:val="029C4152"/>
    <w:multiLevelType w:val="hybridMultilevel"/>
    <w:tmpl w:val="5E12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C60BD"/>
    <w:multiLevelType w:val="hybridMultilevel"/>
    <w:tmpl w:val="E5825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70E38"/>
    <w:multiLevelType w:val="hybridMultilevel"/>
    <w:tmpl w:val="71763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67E09"/>
    <w:multiLevelType w:val="hybridMultilevel"/>
    <w:tmpl w:val="28A49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37F0"/>
    <w:multiLevelType w:val="hybridMultilevel"/>
    <w:tmpl w:val="3B14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C685F"/>
    <w:multiLevelType w:val="hybridMultilevel"/>
    <w:tmpl w:val="B65EE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4A37B0"/>
    <w:multiLevelType w:val="hybridMultilevel"/>
    <w:tmpl w:val="75BE5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E4F51"/>
    <w:multiLevelType w:val="multilevel"/>
    <w:tmpl w:val="CA0E0DDA"/>
    <w:styleLink w:val="Style10"/>
    <w:lvl w:ilvl="0">
      <w:start w:val="1"/>
      <w:numFmt w:val="bullet"/>
      <w:lvlText w:val=""/>
      <w:lvlPicBulletId w:val="0"/>
      <w:lvlJc w:val="left"/>
      <w:pPr>
        <w:ind w:left="1080" w:hanging="360"/>
      </w:pPr>
      <w:rPr>
        <w:rFonts w:ascii="Symbol" w:hAnsi="Symbol" w:hint="default"/>
        <w:color w:val="auto"/>
      </w:rPr>
    </w:lvl>
    <w:lvl w:ilvl="1">
      <w:start w:val="1"/>
      <w:numFmt w:val="bullet"/>
      <w:lvlText w:val=""/>
      <w:lvlPicBulletId w:val="0"/>
      <w:lvlJc w:val="left"/>
      <w:pPr>
        <w:ind w:left="1440" w:hanging="360"/>
      </w:pPr>
      <w:rPr>
        <w:rFonts w:ascii="Symbol" w:hAnsi="Symbol" w:cs="Courier New" w:hint="default"/>
        <w:color w:val="auto"/>
      </w:rPr>
    </w:lvl>
    <w:lvl w:ilvl="2">
      <w:start w:val="1"/>
      <w:numFmt w:val="bullet"/>
      <w:lvlText w:val=""/>
      <w:lvlPicBulletId w:val="0"/>
      <w:lvlJc w:val="left"/>
      <w:pPr>
        <w:ind w:left="2160" w:hanging="360"/>
      </w:pPr>
      <w:rPr>
        <w:rFonts w:ascii="Symbol" w:hAnsi="Symbol" w:hint="default"/>
        <w:color w:val="auto"/>
      </w:rPr>
    </w:lvl>
    <w:lvl w:ilvl="3">
      <w:start w:val="1"/>
      <w:numFmt w:val="bullet"/>
      <w:lvlText w:val=""/>
      <w:lvlPicBulletId w:val="0"/>
      <w:lvlJc w:val="left"/>
      <w:pPr>
        <w:ind w:left="2880" w:hanging="360"/>
      </w:pPr>
      <w:rPr>
        <w:rFonts w:ascii="Symbol" w:hAnsi="Symbol" w:hint="default"/>
        <w:color w:val="auto"/>
      </w:rPr>
    </w:lvl>
    <w:lvl w:ilvl="4">
      <w:start w:val="1"/>
      <w:numFmt w:val="bullet"/>
      <w:lvlText w:val=""/>
      <w:lvlPicBulletId w:val="0"/>
      <w:lvlJc w:val="left"/>
      <w:pPr>
        <w:ind w:left="3600" w:hanging="360"/>
      </w:pPr>
      <w:rPr>
        <w:rFonts w:ascii="Symbol" w:hAnsi="Symbol" w:cs="Courier New" w:hint="default"/>
        <w:color w:val="auto"/>
      </w:rPr>
    </w:lvl>
    <w:lvl w:ilvl="5">
      <w:start w:val="1"/>
      <w:numFmt w:val="bullet"/>
      <w:lvlText w:val=""/>
      <w:lvlPicBulletId w:val="0"/>
      <w:lvlJc w:val="left"/>
      <w:pPr>
        <w:ind w:left="4320" w:hanging="360"/>
      </w:pPr>
      <w:rPr>
        <w:rFonts w:ascii="Symbol" w:hAnsi="Symbol" w:hint="default"/>
        <w:color w:val="auto"/>
      </w:rPr>
    </w:lvl>
    <w:lvl w:ilvl="6">
      <w:start w:val="1"/>
      <w:numFmt w:val="bullet"/>
      <w:lvlText w:val=""/>
      <w:lvlPicBulletId w:val="0"/>
      <w:lvlJc w:val="left"/>
      <w:pPr>
        <w:ind w:left="5040" w:hanging="360"/>
      </w:pPr>
      <w:rPr>
        <w:rFonts w:ascii="Symbol" w:hAnsi="Symbol" w:hint="default"/>
        <w:color w:val="auto"/>
      </w:rPr>
    </w:lvl>
    <w:lvl w:ilvl="7">
      <w:start w:val="1"/>
      <w:numFmt w:val="bullet"/>
      <w:lvlText w:val=""/>
      <w:lvlPicBulletId w:val="0"/>
      <w:lvlJc w:val="left"/>
      <w:pPr>
        <w:ind w:left="5760" w:hanging="360"/>
      </w:pPr>
      <w:rPr>
        <w:rFonts w:ascii="Symbol" w:hAnsi="Symbol" w:cs="Courier New" w:hint="default"/>
        <w:color w:val="auto"/>
      </w:rPr>
    </w:lvl>
    <w:lvl w:ilvl="8">
      <w:start w:val="1"/>
      <w:numFmt w:val="bullet"/>
      <w:lvlText w:val=""/>
      <w:lvlPicBulletId w:val="0"/>
      <w:lvlJc w:val="left"/>
      <w:pPr>
        <w:ind w:left="6480" w:hanging="360"/>
      </w:pPr>
      <w:rPr>
        <w:rFonts w:ascii="Symbol" w:hAnsi="Symbol" w:hint="default"/>
        <w:color w:val="auto"/>
      </w:rPr>
    </w:lvl>
  </w:abstractNum>
  <w:abstractNum w:abstractNumId="8" w15:restartNumberingAfterBreak="0">
    <w:nsid w:val="2361099B"/>
    <w:multiLevelType w:val="hybridMultilevel"/>
    <w:tmpl w:val="5496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226A5"/>
    <w:multiLevelType w:val="hybridMultilevel"/>
    <w:tmpl w:val="BB6A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994758"/>
    <w:multiLevelType w:val="hybridMultilevel"/>
    <w:tmpl w:val="5DDA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E3AB9"/>
    <w:multiLevelType w:val="hybridMultilevel"/>
    <w:tmpl w:val="FA9E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5359C"/>
    <w:multiLevelType w:val="hybridMultilevel"/>
    <w:tmpl w:val="9FF04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17EB"/>
    <w:multiLevelType w:val="hybridMultilevel"/>
    <w:tmpl w:val="211EF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C923BD"/>
    <w:multiLevelType w:val="hybridMultilevel"/>
    <w:tmpl w:val="7616A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CB2CEA"/>
    <w:multiLevelType w:val="hybridMultilevel"/>
    <w:tmpl w:val="BA20E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35050"/>
    <w:multiLevelType w:val="hybridMultilevel"/>
    <w:tmpl w:val="90F8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B41E7"/>
    <w:multiLevelType w:val="hybridMultilevel"/>
    <w:tmpl w:val="F78C8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E83EC2"/>
    <w:multiLevelType w:val="hybridMultilevel"/>
    <w:tmpl w:val="0F2C6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3E6B38"/>
    <w:multiLevelType w:val="hybridMultilevel"/>
    <w:tmpl w:val="1630A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B75D6"/>
    <w:multiLevelType w:val="hybridMultilevel"/>
    <w:tmpl w:val="263E8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A19D1"/>
    <w:multiLevelType w:val="hybridMultilevel"/>
    <w:tmpl w:val="7AD0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CD4AFA"/>
    <w:multiLevelType w:val="hybridMultilevel"/>
    <w:tmpl w:val="3342D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07E00"/>
    <w:multiLevelType w:val="hybridMultilevel"/>
    <w:tmpl w:val="292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8E7788"/>
    <w:multiLevelType w:val="multilevel"/>
    <w:tmpl w:val="7C5C5AE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9907892"/>
    <w:multiLevelType w:val="multilevel"/>
    <w:tmpl w:val="6EE241FA"/>
    <w:lvl w:ilvl="0">
      <w:start w:val="1"/>
      <w:numFmt w:val="decimal"/>
      <w:pStyle w:val="Nazivpoglavlja"/>
      <w:lvlText w:val="%1."/>
      <w:lvlJc w:val="left"/>
      <w:pPr>
        <w:ind w:left="432" w:hanging="432"/>
      </w:pPr>
      <w:rPr>
        <w:rFonts w:hint="default"/>
      </w:rPr>
    </w:lvl>
    <w:lvl w:ilvl="1">
      <w:start w:val="1"/>
      <w:numFmt w:val="decimal"/>
      <w:pStyle w:val="Podnaslovpoglavlja1"/>
      <w:lvlText w:val="%1.%2."/>
      <w:lvlJc w:val="left"/>
      <w:pPr>
        <w:ind w:left="576" w:hanging="576"/>
      </w:pPr>
      <w:rPr>
        <w:rFonts w:hint="default"/>
      </w:rPr>
    </w:lvl>
    <w:lvl w:ilvl="2">
      <w:start w:val="1"/>
      <w:numFmt w:val="decimal"/>
      <w:pStyle w:val="Podnaslovpoglavlja2"/>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6BCE1258"/>
    <w:multiLevelType w:val="multilevel"/>
    <w:tmpl w:val="DB74A798"/>
    <w:styleLink w:val="Style11"/>
    <w:lvl w:ilvl="0">
      <w:start w:val="1"/>
      <w:numFmt w:val="none"/>
      <w:lvlText w:val=""/>
      <w:lvlJc w:val="left"/>
      <w:pPr>
        <w:ind w:left="360" w:hanging="360"/>
      </w:pPr>
      <w:rPr>
        <w:rFonts w:hint="default"/>
        <w:color w:val="auto"/>
      </w:rPr>
    </w:lvl>
    <w:lvl w:ilvl="1">
      <w:start w:val="1"/>
      <w:numFmt w:val="none"/>
      <w:lvlText w:val=""/>
      <w:lvlJc w:val="left"/>
      <w:pPr>
        <w:ind w:left="720" w:hanging="360"/>
      </w:pPr>
      <w:rPr>
        <w:rFonts w:hint="default"/>
        <w:color w:val="auto"/>
      </w:rPr>
    </w:lvl>
    <w:lvl w:ilvl="2">
      <w:start w:val="1"/>
      <w:numFmt w:val="none"/>
      <w:lvlText w:val=""/>
      <w:lvlJc w:val="left"/>
      <w:pPr>
        <w:ind w:left="1080" w:hanging="360"/>
      </w:pPr>
      <w:rPr>
        <w:rFonts w:hint="default"/>
        <w:color w:val="auto"/>
      </w:rPr>
    </w:lvl>
    <w:lvl w:ilvl="3">
      <w:start w:val="1"/>
      <w:numFmt w:val="none"/>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641AB4"/>
    <w:multiLevelType w:val="hybridMultilevel"/>
    <w:tmpl w:val="C7FE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811EA4"/>
    <w:multiLevelType w:val="hybridMultilevel"/>
    <w:tmpl w:val="3342D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444657"/>
    <w:multiLevelType w:val="hybridMultilevel"/>
    <w:tmpl w:val="C60C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1F59FD"/>
    <w:multiLevelType w:val="hybridMultilevel"/>
    <w:tmpl w:val="21FAB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0A2A6D"/>
    <w:multiLevelType w:val="hybridMultilevel"/>
    <w:tmpl w:val="8656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0D3FC9"/>
    <w:multiLevelType w:val="hybridMultilevel"/>
    <w:tmpl w:val="8378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6"/>
  </w:num>
  <w:num w:numId="3">
    <w:abstractNumId w:val="24"/>
  </w:num>
  <w:num w:numId="4">
    <w:abstractNumId w:val="0"/>
  </w:num>
  <w:num w:numId="5">
    <w:abstractNumId w:val="16"/>
  </w:num>
  <w:num w:numId="6">
    <w:abstractNumId w:val="4"/>
  </w:num>
  <w:num w:numId="7">
    <w:abstractNumId w:val="17"/>
  </w:num>
  <w:num w:numId="8">
    <w:abstractNumId w:val="32"/>
  </w:num>
  <w:num w:numId="9">
    <w:abstractNumId w:val="14"/>
  </w:num>
  <w:num w:numId="10">
    <w:abstractNumId w:val="19"/>
  </w:num>
  <w:num w:numId="11">
    <w:abstractNumId w:val="22"/>
  </w:num>
  <w:num w:numId="12">
    <w:abstractNumId w:val="28"/>
  </w:num>
  <w:num w:numId="13">
    <w:abstractNumId w:val="8"/>
  </w:num>
  <w:num w:numId="14">
    <w:abstractNumId w:val="1"/>
  </w:num>
  <w:num w:numId="15">
    <w:abstractNumId w:val="21"/>
  </w:num>
  <w:num w:numId="16">
    <w:abstractNumId w:val="11"/>
  </w:num>
  <w:num w:numId="17">
    <w:abstractNumId w:val="29"/>
  </w:num>
  <w:num w:numId="18">
    <w:abstractNumId w:val="20"/>
  </w:num>
  <w:num w:numId="19">
    <w:abstractNumId w:val="2"/>
  </w:num>
  <w:num w:numId="20">
    <w:abstractNumId w:val="5"/>
  </w:num>
  <w:num w:numId="21">
    <w:abstractNumId w:val="15"/>
  </w:num>
  <w:num w:numId="22">
    <w:abstractNumId w:val="6"/>
  </w:num>
  <w:num w:numId="23">
    <w:abstractNumId w:val="30"/>
  </w:num>
  <w:num w:numId="24">
    <w:abstractNumId w:val="13"/>
  </w:num>
  <w:num w:numId="25">
    <w:abstractNumId w:val="9"/>
  </w:num>
  <w:num w:numId="26">
    <w:abstractNumId w:val="10"/>
  </w:num>
  <w:num w:numId="27">
    <w:abstractNumId w:val="27"/>
  </w:num>
  <w:num w:numId="28">
    <w:abstractNumId w:val="3"/>
  </w:num>
  <w:num w:numId="29">
    <w:abstractNumId w:val="12"/>
  </w:num>
  <w:num w:numId="30">
    <w:abstractNumId w:val="23"/>
  </w:num>
  <w:num w:numId="31">
    <w:abstractNumId w:val="25"/>
  </w:num>
  <w:num w:numId="32">
    <w:abstractNumId w:val="25"/>
  </w:num>
  <w:num w:numId="33">
    <w:abstractNumId w:val="31"/>
  </w:num>
  <w:num w:numId="34">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trackRevisions/>
  <w:documentProtection w:edit="readOnly" w:enforcement="0"/>
  <w:defaultTabStop w:val="709"/>
  <w:hyphenationZone w:val="425"/>
  <w:characterSpacingControl w:val="doNotCompress"/>
  <w:hdrShapeDefaults>
    <o:shapedefaults v:ext="edit" spidmax="2049">
      <o:colormru v:ext="edit" colors="#02418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C7"/>
    <w:rsid w:val="00001304"/>
    <w:rsid w:val="00001BDC"/>
    <w:rsid w:val="00002480"/>
    <w:rsid w:val="00003225"/>
    <w:rsid w:val="00003DCB"/>
    <w:rsid w:val="00004AE5"/>
    <w:rsid w:val="00004B10"/>
    <w:rsid w:val="0001067F"/>
    <w:rsid w:val="00010AB1"/>
    <w:rsid w:val="00011F5A"/>
    <w:rsid w:val="00014A43"/>
    <w:rsid w:val="00015C58"/>
    <w:rsid w:val="00017189"/>
    <w:rsid w:val="000177A0"/>
    <w:rsid w:val="00021EA5"/>
    <w:rsid w:val="00022487"/>
    <w:rsid w:val="0002610D"/>
    <w:rsid w:val="00026FCF"/>
    <w:rsid w:val="00027452"/>
    <w:rsid w:val="00027DA3"/>
    <w:rsid w:val="000302C6"/>
    <w:rsid w:val="0003071F"/>
    <w:rsid w:val="000309F3"/>
    <w:rsid w:val="00031237"/>
    <w:rsid w:val="00032270"/>
    <w:rsid w:val="00032C76"/>
    <w:rsid w:val="00035E34"/>
    <w:rsid w:val="000364D1"/>
    <w:rsid w:val="00041B68"/>
    <w:rsid w:val="00042DC9"/>
    <w:rsid w:val="00043535"/>
    <w:rsid w:val="0004638C"/>
    <w:rsid w:val="00046BC5"/>
    <w:rsid w:val="00047EA0"/>
    <w:rsid w:val="0005683B"/>
    <w:rsid w:val="0006414B"/>
    <w:rsid w:val="00064A4F"/>
    <w:rsid w:val="00066243"/>
    <w:rsid w:val="00066347"/>
    <w:rsid w:val="00070BC1"/>
    <w:rsid w:val="00070FFF"/>
    <w:rsid w:val="000720EE"/>
    <w:rsid w:val="0007278D"/>
    <w:rsid w:val="000735AD"/>
    <w:rsid w:val="00073AB2"/>
    <w:rsid w:val="0007598F"/>
    <w:rsid w:val="0007609E"/>
    <w:rsid w:val="00076BD7"/>
    <w:rsid w:val="00077839"/>
    <w:rsid w:val="00082B61"/>
    <w:rsid w:val="00083A06"/>
    <w:rsid w:val="00083AF2"/>
    <w:rsid w:val="0008572F"/>
    <w:rsid w:val="00086085"/>
    <w:rsid w:val="000861CF"/>
    <w:rsid w:val="000862EB"/>
    <w:rsid w:val="0008644D"/>
    <w:rsid w:val="00086F2E"/>
    <w:rsid w:val="00087340"/>
    <w:rsid w:val="00090ED4"/>
    <w:rsid w:val="00091B78"/>
    <w:rsid w:val="00095E1B"/>
    <w:rsid w:val="00096224"/>
    <w:rsid w:val="00096CC5"/>
    <w:rsid w:val="000A00D3"/>
    <w:rsid w:val="000A0269"/>
    <w:rsid w:val="000A336B"/>
    <w:rsid w:val="000A4CFE"/>
    <w:rsid w:val="000A5001"/>
    <w:rsid w:val="000A57E9"/>
    <w:rsid w:val="000A6B2D"/>
    <w:rsid w:val="000B1383"/>
    <w:rsid w:val="000B2DD2"/>
    <w:rsid w:val="000B3C40"/>
    <w:rsid w:val="000B3F94"/>
    <w:rsid w:val="000B42C6"/>
    <w:rsid w:val="000B5359"/>
    <w:rsid w:val="000B65B9"/>
    <w:rsid w:val="000B6D48"/>
    <w:rsid w:val="000B726C"/>
    <w:rsid w:val="000B7B0A"/>
    <w:rsid w:val="000C10FB"/>
    <w:rsid w:val="000C1207"/>
    <w:rsid w:val="000C18CC"/>
    <w:rsid w:val="000C29E6"/>
    <w:rsid w:val="000C4706"/>
    <w:rsid w:val="000C671D"/>
    <w:rsid w:val="000C76DD"/>
    <w:rsid w:val="000C7AE1"/>
    <w:rsid w:val="000D06CD"/>
    <w:rsid w:val="000D0B08"/>
    <w:rsid w:val="000D1ACB"/>
    <w:rsid w:val="000D1E58"/>
    <w:rsid w:val="000D768E"/>
    <w:rsid w:val="000D77EA"/>
    <w:rsid w:val="000E0812"/>
    <w:rsid w:val="000E0936"/>
    <w:rsid w:val="000E1AA7"/>
    <w:rsid w:val="000E1D73"/>
    <w:rsid w:val="000E3264"/>
    <w:rsid w:val="000E70C0"/>
    <w:rsid w:val="000F00BE"/>
    <w:rsid w:val="000F04ED"/>
    <w:rsid w:val="000F0FC5"/>
    <w:rsid w:val="000F1287"/>
    <w:rsid w:val="000F2A93"/>
    <w:rsid w:val="000F326A"/>
    <w:rsid w:val="000F39B3"/>
    <w:rsid w:val="000F3B71"/>
    <w:rsid w:val="000F4A38"/>
    <w:rsid w:val="000F7C1D"/>
    <w:rsid w:val="00101B27"/>
    <w:rsid w:val="00101B9E"/>
    <w:rsid w:val="0010714D"/>
    <w:rsid w:val="00110D39"/>
    <w:rsid w:val="0011158F"/>
    <w:rsid w:val="00111B4A"/>
    <w:rsid w:val="00115564"/>
    <w:rsid w:val="00120AA8"/>
    <w:rsid w:val="00120BC8"/>
    <w:rsid w:val="00121580"/>
    <w:rsid w:val="00121685"/>
    <w:rsid w:val="001223A1"/>
    <w:rsid w:val="00122908"/>
    <w:rsid w:val="00123303"/>
    <w:rsid w:val="00123A02"/>
    <w:rsid w:val="00124418"/>
    <w:rsid w:val="00125A76"/>
    <w:rsid w:val="00125B85"/>
    <w:rsid w:val="0012649B"/>
    <w:rsid w:val="001318FD"/>
    <w:rsid w:val="001322E5"/>
    <w:rsid w:val="0013305F"/>
    <w:rsid w:val="001345AE"/>
    <w:rsid w:val="00134F7F"/>
    <w:rsid w:val="0013570B"/>
    <w:rsid w:val="001364D5"/>
    <w:rsid w:val="00137639"/>
    <w:rsid w:val="001402C0"/>
    <w:rsid w:val="001432D5"/>
    <w:rsid w:val="00144BAC"/>
    <w:rsid w:val="00144C38"/>
    <w:rsid w:val="00145C97"/>
    <w:rsid w:val="001466A2"/>
    <w:rsid w:val="00146B14"/>
    <w:rsid w:val="0015010B"/>
    <w:rsid w:val="00153217"/>
    <w:rsid w:val="00154071"/>
    <w:rsid w:val="00154AB3"/>
    <w:rsid w:val="001552FC"/>
    <w:rsid w:val="00157017"/>
    <w:rsid w:val="00160587"/>
    <w:rsid w:val="00160A02"/>
    <w:rsid w:val="00162DDB"/>
    <w:rsid w:val="00162E11"/>
    <w:rsid w:val="00164159"/>
    <w:rsid w:val="00165A06"/>
    <w:rsid w:val="00165B16"/>
    <w:rsid w:val="00165CDE"/>
    <w:rsid w:val="0016799A"/>
    <w:rsid w:val="00170993"/>
    <w:rsid w:val="001710C9"/>
    <w:rsid w:val="001729CF"/>
    <w:rsid w:val="0017425D"/>
    <w:rsid w:val="00174DFA"/>
    <w:rsid w:val="00176039"/>
    <w:rsid w:val="001767CB"/>
    <w:rsid w:val="0017775E"/>
    <w:rsid w:val="00180165"/>
    <w:rsid w:val="00182188"/>
    <w:rsid w:val="00182BAF"/>
    <w:rsid w:val="00184D59"/>
    <w:rsid w:val="0019018D"/>
    <w:rsid w:val="00190F9E"/>
    <w:rsid w:val="00192220"/>
    <w:rsid w:val="001923BC"/>
    <w:rsid w:val="00192D15"/>
    <w:rsid w:val="001A04E2"/>
    <w:rsid w:val="001A0DF8"/>
    <w:rsid w:val="001A1E87"/>
    <w:rsid w:val="001A2309"/>
    <w:rsid w:val="001A278D"/>
    <w:rsid w:val="001A2B0A"/>
    <w:rsid w:val="001A592A"/>
    <w:rsid w:val="001A5C2F"/>
    <w:rsid w:val="001A5F5F"/>
    <w:rsid w:val="001A795F"/>
    <w:rsid w:val="001B0D22"/>
    <w:rsid w:val="001B1896"/>
    <w:rsid w:val="001B1CEB"/>
    <w:rsid w:val="001B2823"/>
    <w:rsid w:val="001B293A"/>
    <w:rsid w:val="001B4013"/>
    <w:rsid w:val="001B553E"/>
    <w:rsid w:val="001C089E"/>
    <w:rsid w:val="001C31D3"/>
    <w:rsid w:val="001C3316"/>
    <w:rsid w:val="001C48E2"/>
    <w:rsid w:val="001C5A9D"/>
    <w:rsid w:val="001C5F9B"/>
    <w:rsid w:val="001C6014"/>
    <w:rsid w:val="001C67E1"/>
    <w:rsid w:val="001D0281"/>
    <w:rsid w:val="001D079B"/>
    <w:rsid w:val="001D09BB"/>
    <w:rsid w:val="001D10E4"/>
    <w:rsid w:val="001D19BC"/>
    <w:rsid w:val="001D2366"/>
    <w:rsid w:val="001D7A74"/>
    <w:rsid w:val="001E0567"/>
    <w:rsid w:val="001E134C"/>
    <w:rsid w:val="001E1579"/>
    <w:rsid w:val="001F2332"/>
    <w:rsid w:val="001F2A73"/>
    <w:rsid w:val="001F3FFA"/>
    <w:rsid w:val="001F4FC8"/>
    <w:rsid w:val="001F5D20"/>
    <w:rsid w:val="001F6489"/>
    <w:rsid w:val="001F65D4"/>
    <w:rsid w:val="001F6C72"/>
    <w:rsid w:val="001F7B4A"/>
    <w:rsid w:val="00201696"/>
    <w:rsid w:val="00201C74"/>
    <w:rsid w:val="00201CDA"/>
    <w:rsid w:val="002027F3"/>
    <w:rsid w:val="00203B9C"/>
    <w:rsid w:val="00206D3F"/>
    <w:rsid w:val="00206F40"/>
    <w:rsid w:val="00211117"/>
    <w:rsid w:val="002111BD"/>
    <w:rsid w:val="00211475"/>
    <w:rsid w:val="00213C1B"/>
    <w:rsid w:val="00213E5C"/>
    <w:rsid w:val="002154F2"/>
    <w:rsid w:val="0021660E"/>
    <w:rsid w:val="00217B91"/>
    <w:rsid w:val="00217E02"/>
    <w:rsid w:val="0022016E"/>
    <w:rsid w:val="00220C00"/>
    <w:rsid w:val="00223894"/>
    <w:rsid w:val="00224C02"/>
    <w:rsid w:val="00225F07"/>
    <w:rsid w:val="00227C4A"/>
    <w:rsid w:val="002307B2"/>
    <w:rsid w:val="00232E77"/>
    <w:rsid w:val="00234394"/>
    <w:rsid w:val="0023584E"/>
    <w:rsid w:val="00235F83"/>
    <w:rsid w:val="00243554"/>
    <w:rsid w:val="00244A64"/>
    <w:rsid w:val="00244D6A"/>
    <w:rsid w:val="00245660"/>
    <w:rsid w:val="00253620"/>
    <w:rsid w:val="00253E41"/>
    <w:rsid w:val="00253FED"/>
    <w:rsid w:val="00255E20"/>
    <w:rsid w:val="00256C67"/>
    <w:rsid w:val="0025743A"/>
    <w:rsid w:val="00257DA7"/>
    <w:rsid w:val="00261F51"/>
    <w:rsid w:val="002626E6"/>
    <w:rsid w:val="00264BC2"/>
    <w:rsid w:val="00264F59"/>
    <w:rsid w:val="002666A3"/>
    <w:rsid w:val="00267326"/>
    <w:rsid w:val="00267701"/>
    <w:rsid w:val="00272F4A"/>
    <w:rsid w:val="00277AFC"/>
    <w:rsid w:val="00277DC8"/>
    <w:rsid w:val="00281569"/>
    <w:rsid w:val="00281CBD"/>
    <w:rsid w:val="00282164"/>
    <w:rsid w:val="00282A3B"/>
    <w:rsid w:val="00282D24"/>
    <w:rsid w:val="00285738"/>
    <w:rsid w:val="002863C4"/>
    <w:rsid w:val="00291017"/>
    <w:rsid w:val="00291CDD"/>
    <w:rsid w:val="00292E9C"/>
    <w:rsid w:val="00296720"/>
    <w:rsid w:val="00296A22"/>
    <w:rsid w:val="00297D31"/>
    <w:rsid w:val="002A0184"/>
    <w:rsid w:val="002A0C60"/>
    <w:rsid w:val="002A1406"/>
    <w:rsid w:val="002A4CF5"/>
    <w:rsid w:val="002A4DAA"/>
    <w:rsid w:val="002A5AC4"/>
    <w:rsid w:val="002A77C2"/>
    <w:rsid w:val="002B0AC2"/>
    <w:rsid w:val="002B3909"/>
    <w:rsid w:val="002B3A39"/>
    <w:rsid w:val="002B6442"/>
    <w:rsid w:val="002B6E48"/>
    <w:rsid w:val="002B6F69"/>
    <w:rsid w:val="002B7273"/>
    <w:rsid w:val="002C115A"/>
    <w:rsid w:val="002C2060"/>
    <w:rsid w:val="002C20A2"/>
    <w:rsid w:val="002C3306"/>
    <w:rsid w:val="002C4A84"/>
    <w:rsid w:val="002C4A88"/>
    <w:rsid w:val="002C654D"/>
    <w:rsid w:val="002D2B5E"/>
    <w:rsid w:val="002D3588"/>
    <w:rsid w:val="002D5668"/>
    <w:rsid w:val="002D5D07"/>
    <w:rsid w:val="002D5E85"/>
    <w:rsid w:val="002D763B"/>
    <w:rsid w:val="002D794D"/>
    <w:rsid w:val="002D7AB3"/>
    <w:rsid w:val="002E09DA"/>
    <w:rsid w:val="002E1D86"/>
    <w:rsid w:val="002E26B6"/>
    <w:rsid w:val="002E4B46"/>
    <w:rsid w:val="002E6380"/>
    <w:rsid w:val="002E778B"/>
    <w:rsid w:val="002E7A1D"/>
    <w:rsid w:val="002F07E9"/>
    <w:rsid w:val="002F2932"/>
    <w:rsid w:val="002F33C5"/>
    <w:rsid w:val="002F3A01"/>
    <w:rsid w:val="002F400A"/>
    <w:rsid w:val="003021C4"/>
    <w:rsid w:val="003040C9"/>
    <w:rsid w:val="00306AAB"/>
    <w:rsid w:val="00310964"/>
    <w:rsid w:val="003115CE"/>
    <w:rsid w:val="00311FB0"/>
    <w:rsid w:val="00312675"/>
    <w:rsid w:val="003207FE"/>
    <w:rsid w:val="0032262F"/>
    <w:rsid w:val="003230C5"/>
    <w:rsid w:val="00323487"/>
    <w:rsid w:val="00323ABC"/>
    <w:rsid w:val="00325265"/>
    <w:rsid w:val="00325DEF"/>
    <w:rsid w:val="003265C7"/>
    <w:rsid w:val="00326C89"/>
    <w:rsid w:val="0032738B"/>
    <w:rsid w:val="00330C0B"/>
    <w:rsid w:val="00331336"/>
    <w:rsid w:val="003323CB"/>
    <w:rsid w:val="003325C4"/>
    <w:rsid w:val="00335E5D"/>
    <w:rsid w:val="00337FD1"/>
    <w:rsid w:val="00342C18"/>
    <w:rsid w:val="0034310B"/>
    <w:rsid w:val="003449BA"/>
    <w:rsid w:val="00344D14"/>
    <w:rsid w:val="003462FD"/>
    <w:rsid w:val="0034643B"/>
    <w:rsid w:val="00346FF1"/>
    <w:rsid w:val="0035093F"/>
    <w:rsid w:val="00350A51"/>
    <w:rsid w:val="00351706"/>
    <w:rsid w:val="003527C9"/>
    <w:rsid w:val="003533F6"/>
    <w:rsid w:val="003557E1"/>
    <w:rsid w:val="00356DA1"/>
    <w:rsid w:val="00357580"/>
    <w:rsid w:val="003614D5"/>
    <w:rsid w:val="00363FFB"/>
    <w:rsid w:val="00364E51"/>
    <w:rsid w:val="00366F4F"/>
    <w:rsid w:val="00370283"/>
    <w:rsid w:val="0037385A"/>
    <w:rsid w:val="00373F08"/>
    <w:rsid w:val="00376704"/>
    <w:rsid w:val="0037729B"/>
    <w:rsid w:val="00377B7D"/>
    <w:rsid w:val="00377C4E"/>
    <w:rsid w:val="00377E11"/>
    <w:rsid w:val="0038098D"/>
    <w:rsid w:val="00380CE9"/>
    <w:rsid w:val="00380F23"/>
    <w:rsid w:val="00381AEF"/>
    <w:rsid w:val="00382BD8"/>
    <w:rsid w:val="0038479E"/>
    <w:rsid w:val="00385DA6"/>
    <w:rsid w:val="00386594"/>
    <w:rsid w:val="003870ED"/>
    <w:rsid w:val="003876AA"/>
    <w:rsid w:val="003905DD"/>
    <w:rsid w:val="00390E52"/>
    <w:rsid w:val="00391751"/>
    <w:rsid w:val="00394414"/>
    <w:rsid w:val="00394AF3"/>
    <w:rsid w:val="003A157B"/>
    <w:rsid w:val="003A1C0A"/>
    <w:rsid w:val="003A1DE4"/>
    <w:rsid w:val="003A277A"/>
    <w:rsid w:val="003A2E58"/>
    <w:rsid w:val="003A376F"/>
    <w:rsid w:val="003A38DA"/>
    <w:rsid w:val="003A5028"/>
    <w:rsid w:val="003A6B22"/>
    <w:rsid w:val="003A75B4"/>
    <w:rsid w:val="003B0CD7"/>
    <w:rsid w:val="003B1D98"/>
    <w:rsid w:val="003B2889"/>
    <w:rsid w:val="003B2B9D"/>
    <w:rsid w:val="003B3976"/>
    <w:rsid w:val="003B49F1"/>
    <w:rsid w:val="003B5B0A"/>
    <w:rsid w:val="003B6041"/>
    <w:rsid w:val="003C1173"/>
    <w:rsid w:val="003C1184"/>
    <w:rsid w:val="003C3A50"/>
    <w:rsid w:val="003C4280"/>
    <w:rsid w:val="003C4351"/>
    <w:rsid w:val="003C4426"/>
    <w:rsid w:val="003C52AC"/>
    <w:rsid w:val="003C5A1A"/>
    <w:rsid w:val="003C6B9E"/>
    <w:rsid w:val="003C6D4E"/>
    <w:rsid w:val="003D0122"/>
    <w:rsid w:val="003D1EC0"/>
    <w:rsid w:val="003D2E89"/>
    <w:rsid w:val="003D3827"/>
    <w:rsid w:val="003D603A"/>
    <w:rsid w:val="003D6645"/>
    <w:rsid w:val="003D6972"/>
    <w:rsid w:val="003D7676"/>
    <w:rsid w:val="003D77EC"/>
    <w:rsid w:val="003D794C"/>
    <w:rsid w:val="003D7AE9"/>
    <w:rsid w:val="003E2240"/>
    <w:rsid w:val="003E233A"/>
    <w:rsid w:val="003E2DFC"/>
    <w:rsid w:val="003E3236"/>
    <w:rsid w:val="003E51CB"/>
    <w:rsid w:val="003E62A2"/>
    <w:rsid w:val="003F0AED"/>
    <w:rsid w:val="003F14D0"/>
    <w:rsid w:val="003F1F70"/>
    <w:rsid w:val="003F2081"/>
    <w:rsid w:val="003F2F48"/>
    <w:rsid w:val="003F4F27"/>
    <w:rsid w:val="004002DC"/>
    <w:rsid w:val="0040151A"/>
    <w:rsid w:val="004015A4"/>
    <w:rsid w:val="00404DC4"/>
    <w:rsid w:val="004066C0"/>
    <w:rsid w:val="00406CAF"/>
    <w:rsid w:val="00407B3D"/>
    <w:rsid w:val="00407BB1"/>
    <w:rsid w:val="004107C1"/>
    <w:rsid w:val="00411C3F"/>
    <w:rsid w:val="00412179"/>
    <w:rsid w:val="00412D0D"/>
    <w:rsid w:val="0041477A"/>
    <w:rsid w:val="00415183"/>
    <w:rsid w:val="004161B6"/>
    <w:rsid w:val="004161EC"/>
    <w:rsid w:val="00416F6E"/>
    <w:rsid w:val="004210A9"/>
    <w:rsid w:val="00422EC3"/>
    <w:rsid w:val="004238AF"/>
    <w:rsid w:val="00423ADC"/>
    <w:rsid w:val="0042431A"/>
    <w:rsid w:val="00424C6A"/>
    <w:rsid w:val="00424C70"/>
    <w:rsid w:val="00425F94"/>
    <w:rsid w:val="004261BE"/>
    <w:rsid w:val="00430AFF"/>
    <w:rsid w:val="00430C9C"/>
    <w:rsid w:val="00433884"/>
    <w:rsid w:val="004338E8"/>
    <w:rsid w:val="00433C40"/>
    <w:rsid w:val="004340AA"/>
    <w:rsid w:val="004348B2"/>
    <w:rsid w:val="00434C9C"/>
    <w:rsid w:val="004355C7"/>
    <w:rsid w:val="00436460"/>
    <w:rsid w:val="0044122D"/>
    <w:rsid w:val="00441BA4"/>
    <w:rsid w:val="00441E5D"/>
    <w:rsid w:val="00441FAE"/>
    <w:rsid w:val="00442741"/>
    <w:rsid w:val="00444CBC"/>
    <w:rsid w:val="00446F48"/>
    <w:rsid w:val="004500A9"/>
    <w:rsid w:val="004506AD"/>
    <w:rsid w:val="00450D98"/>
    <w:rsid w:val="00452BBE"/>
    <w:rsid w:val="00453E93"/>
    <w:rsid w:val="00455061"/>
    <w:rsid w:val="0045536D"/>
    <w:rsid w:val="00456324"/>
    <w:rsid w:val="004609C6"/>
    <w:rsid w:val="004621CA"/>
    <w:rsid w:val="00462F18"/>
    <w:rsid w:val="004632D1"/>
    <w:rsid w:val="004653F6"/>
    <w:rsid w:val="004655F9"/>
    <w:rsid w:val="004660E2"/>
    <w:rsid w:val="00466597"/>
    <w:rsid w:val="00466D73"/>
    <w:rsid w:val="004674C0"/>
    <w:rsid w:val="0046762C"/>
    <w:rsid w:val="00467F65"/>
    <w:rsid w:val="00471F3E"/>
    <w:rsid w:val="00473393"/>
    <w:rsid w:val="00473817"/>
    <w:rsid w:val="00473955"/>
    <w:rsid w:val="00473C19"/>
    <w:rsid w:val="00476CE1"/>
    <w:rsid w:val="00477423"/>
    <w:rsid w:val="0048119B"/>
    <w:rsid w:val="00481E61"/>
    <w:rsid w:val="0048319A"/>
    <w:rsid w:val="004842B7"/>
    <w:rsid w:val="004847DF"/>
    <w:rsid w:val="004870C5"/>
    <w:rsid w:val="004873AC"/>
    <w:rsid w:val="0049039C"/>
    <w:rsid w:val="00490EF7"/>
    <w:rsid w:val="00491E28"/>
    <w:rsid w:val="00491E7C"/>
    <w:rsid w:val="00493358"/>
    <w:rsid w:val="00493E06"/>
    <w:rsid w:val="004950D4"/>
    <w:rsid w:val="0049599F"/>
    <w:rsid w:val="00496538"/>
    <w:rsid w:val="00496D1E"/>
    <w:rsid w:val="00497503"/>
    <w:rsid w:val="00497962"/>
    <w:rsid w:val="004A1965"/>
    <w:rsid w:val="004A381F"/>
    <w:rsid w:val="004A461A"/>
    <w:rsid w:val="004A482A"/>
    <w:rsid w:val="004A4897"/>
    <w:rsid w:val="004A5A5F"/>
    <w:rsid w:val="004A6DDC"/>
    <w:rsid w:val="004A7394"/>
    <w:rsid w:val="004A7831"/>
    <w:rsid w:val="004B095D"/>
    <w:rsid w:val="004B4BFD"/>
    <w:rsid w:val="004B5E52"/>
    <w:rsid w:val="004C0439"/>
    <w:rsid w:val="004C0916"/>
    <w:rsid w:val="004C1B31"/>
    <w:rsid w:val="004C1B35"/>
    <w:rsid w:val="004C3D1F"/>
    <w:rsid w:val="004C4439"/>
    <w:rsid w:val="004C5EF8"/>
    <w:rsid w:val="004C62D6"/>
    <w:rsid w:val="004C6347"/>
    <w:rsid w:val="004C6B5F"/>
    <w:rsid w:val="004C6BAE"/>
    <w:rsid w:val="004C6E46"/>
    <w:rsid w:val="004C6F6F"/>
    <w:rsid w:val="004D027A"/>
    <w:rsid w:val="004D0EB0"/>
    <w:rsid w:val="004D14C7"/>
    <w:rsid w:val="004D1AF3"/>
    <w:rsid w:val="004D1C44"/>
    <w:rsid w:val="004D220A"/>
    <w:rsid w:val="004D2637"/>
    <w:rsid w:val="004D3751"/>
    <w:rsid w:val="004D377F"/>
    <w:rsid w:val="004D3EE4"/>
    <w:rsid w:val="004D4D87"/>
    <w:rsid w:val="004D4F51"/>
    <w:rsid w:val="004D516B"/>
    <w:rsid w:val="004D643C"/>
    <w:rsid w:val="004D7864"/>
    <w:rsid w:val="004D78B1"/>
    <w:rsid w:val="004D7953"/>
    <w:rsid w:val="004D7F3C"/>
    <w:rsid w:val="004E1FE7"/>
    <w:rsid w:val="004E2B53"/>
    <w:rsid w:val="004E2D8E"/>
    <w:rsid w:val="004E32BF"/>
    <w:rsid w:val="004E33F2"/>
    <w:rsid w:val="004E4B6D"/>
    <w:rsid w:val="004E5B32"/>
    <w:rsid w:val="004E6183"/>
    <w:rsid w:val="004E6341"/>
    <w:rsid w:val="004E6687"/>
    <w:rsid w:val="004E693D"/>
    <w:rsid w:val="004E7949"/>
    <w:rsid w:val="004F01A6"/>
    <w:rsid w:val="004F0282"/>
    <w:rsid w:val="004F3B49"/>
    <w:rsid w:val="004F4257"/>
    <w:rsid w:val="004F6801"/>
    <w:rsid w:val="004F7221"/>
    <w:rsid w:val="00502125"/>
    <w:rsid w:val="00502583"/>
    <w:rsid w:val="00503738"/>
    <w:rsid w:val="0050378D"/>
    <w:rsid w:val="00504B56"/>
    <w:rsid w:val="00507DEB"/>
    <w:rsid w:val="00512029"/>
    <w:rsid w:val="00514E05"/>
    <w:rsid w:val="005153A2"/>
    <w:rsid w:val="00516EB5"/>
    <w:rsid w:val="005178A9"/>
    <w:rsid w:val="00521D05"/>
    <w:rsid w:val="005230DD"/>
    <w:rsid w:val="00524456"/>
    <w:rsid w:val="005256CE"/>
    <w:rsid w:val="00527569"/>
    <w:rsid w:val="00527E23"/>
    <w:rsid w:val="005310BC"/>
    <w:rsid w:val="00532F25"/>
    <w:rsid w:val="0053307C"/>
    <w:rsid w:val="00533440"/>
    <w:rsid w:val="005367E8"/>
    <w:rsid w:val="005370C4"/>
    <w:rsid w:val="005428AA"/>
    <w:rsid w:val="0054364E"/>
    <w:rsid w:val="0054492B"/>
    <w:rsid w:val="005460DD"/>
    <w:rsid w:val="005464CD"/>
    <w:rsid w:val="00546908"/>
    <w:rsid w:val="00547546"/>
    <w:rsid w:val="00547712"/>
    <w:rsid w:val="00547C48"/>
    <w:rsid w:val="00547F95"/>
    <w:rsid w:val="00550509"/>
    <w:rsid w:val="00553052"/>
    <w:rsid w:val="005542E9"/>
    <w:rsid w:val="00556816"/>
    <w:rsid w:val="005617A5"/>
    <w:rsid w:val="00564E48"/>
    <w:rsid w:val="00566414"/>
    <w:rsid w:val="005718E1"/>
    <w:rsid w:val="00571E5C"/>
    <w:rsid w:val="005725B9"/>
    <w:rsid w:val="00572A77"/>
    <w:rsid w:val="00572F5B"/>
    <w:rsid w:val="005741B4"/>
    <w:rsid w:val="005759A6"/>
    <w:rsid w:val="00575A64"/>
    <w:rsid w:val="005819E5"/>
    <w:rsid w:val="005859A6"/>
    <w:rsid w:val="005907FE"/>
    <w:rsid w:val="00592A6E"/>
    <w:rsid w:val="00593558"/>
    <w:rsid w:val="005957B2"/>
    <w:rsid w:val="005A07D0"/>
    <w:rsid w:val="005A68A5"/>
    <w:rsid w:val="005A7AD8"/>
    <w:rsid w:val="005B26A1"/>
    <w:rsid w:val="005B2B7A"/>
    <w:rsid w:val="005B3425"/>
    <w:rsid w:val="005B47AD"/>
    <w:rsid w:val="005B54EB"/>
    <w:rsid w:val="005B5514"/>
    <w:rsid w:val="005B6D3B"/>
    <w:rsid w:val="005B7122"/>
    <w:rsid w:val="005B719E"/>
    <w:rsid w:val="005C3BD7"/>
    <w:rsid w:val="005C4CA0"/>
    <w:rsid w:val="005C4ECA"/>
    <w:rsid w:val="005D12B5"/>
    <w:rsid w:val="005D633C"/>
    <w:rsid w:val="005E1A88"/>
    <w:rsid w:val="005E3EC0"/>
    <w:rsid w:val="005E4608"/>
    <w:rsid w:val="005E496A"/>
    <w:rsid w:val="005E52B4"/>
    <w:rsid w:val="005F1DD2"/>
    <w:rsid w:val="005F251A"/>
    <w:rsid w:val="005F357B"/>
    <w:rsid w:val="005F38FE"/>
    <w:rsid w:val="005F3BAF"/>
    <w:rsid w:val="005F7441"/>
    <w:rsid w:val="005F7E94"/>
    <w:rsid w:val="00600170"/>
    <w:rsid w:val="00600561"/>
    <w:rsid w:val="00601BE3"/>
    <w:rsid w:val="00603534"/>
    <w:rsid w:val="00605F99"/>
    <w:rsid w:val="006074BD"/>
    <w:rsid w:val="00610D41"/>
    <w:rsid w:val="00611635"/>
    <w:rsid w:val="00614160"/>
    <w:rsid w:val="006148C0"/>
    <w:rsid w:val="00615B96"/>
    <w:rsid w:val="00617CA1"/>
    <w:rsid w:val="00620585"/>
    <w:rsid w:val="006217FD"/>
    <w:rsid w:val="006224EB"/>
    <w:rsid w:val="00622D34"/>
    <w:rsid w:val="0062308E"/>
    <w:rsid w:val="00623ECB"/>
    <w:rsid w:val="00624D48"/>
    <w:rsid w:val="006270C7"/>
    <w:rsid w:val="006308F4"/>
    <w:rsid w:val="0063235A"/>
    <w:rsid w:val="00632BDA"/>
    <w:rsid w:val="00634F08"/>
    <w:rsid w:val="00634F93"/>
    <w:rsid w:val="0063528E"/>
    <w:rsid w:val="00637270"/>
    <w:rsid w:val="0063727B"/>
    <w:rsid w:val="006374C3"/>
    <w:rsid w:val="0063763F"/>
    <w:rsid w:val="00640321"/>
    <w:rsid w:val="00644284"/>
    <w:rsid w:val="00644504"/>
    <w:rsid w:val="00645259"/>
    <w:rsid w:val="00645DDD"/>
    <w:rsid w:val="00647C7F"/>
    <w:rsid w:val="00650D3D"/>
    <w:rsid w:val="0065292C"/>
    <w:rsid w:val="006535FE"/>
    <w:rsid w:val="00653930"/>
    <w:rsid w:val="006546E0"/>
    <w:rsid w:val="00654F8B"/>
    <w:rsid w:val="00655B49"/>
    <w:rsid w:val="00656CAB"/>
    <w:rsid w:val="00657E8F"/>
    <w:rsid w:val="00657F87"/>
    <w:rsid w:val="00661601"/>
    <w:rsid w:val="006628DF"/>
    <w:rsid w:val="00662A17"/>
    <w:rsid w:val="00666F4A"/>
    <w:rsid w:val="00666F7F"/>
    <w:rsid w:val="00667974"/>
    <w:rsid w:val="00676148"/>
    <w:rsid w:val="00677ADF"/>
    <w:rsid w:val="00681D58"/>
    <w:rsid w:val="006841EE"/>
    <w:rsid w:val="00684983"/>
    <w:rsid w:val="0068782D"/>
    <w:rsid w:val="00687CC1"/>
    <w:rsid w:val="0069052F"/>
    <w:rsid w:val="0069128C"/>
    <w:rsid w:val="006921F0"/>
    <w:rsid w:val="00693ADD"/>
    <w:rsid w:val="006947B9"/>
    <w:rsid w:val="006A082D"/>
    <w:rsid w:val="006A0B79"/>
    <w:rsid w:val="006A1F03"/>
    <w:rsid w:val="006A245A"/>
    <w:rsid w:val="006A3563"/>
    <w:rsid w:val="006A41BD"/>
    <w:rsid w:val="006A5B91"/>
    <w:rsid w:val="006A61F2"/>
    <w:rsid w:val="006B1852"/>
    <w:rsid w:val="006B2626"/>
    <w:rsid w:val="006B29A5"/>
    <w:rsid w:val="006B3FBD"/>
    <w:rsid w:val="006B5A9B"/>
    <w:rsid w:val="006B6126"/>
    <w:rsid w:val="006B73A9"/>
    <w:rsid w:val="006B78DA"/>
    <w:rsid w:val="006C1051"/>
    <w:rsid w:val="006C2B1B"/>
    <w:rsid w:val="006C4F4A"/>
    <w:rsid w:val="006C5101"/>
    <w:rsid w:val="006C5833"/>
    <w:rsid w:val="006C58D0"/>
    <w:rsid w:val="006C661F"/>
    <w:rsid w:val="006C6814"/>
    <w:rsid w:val="006C6B74"/>
    <w:rsid w:val="006C7586"/>
    <w:rsid w:val="006D0BDD"/>
    <w:rsid w:val="006D231D"/>
    <w:rsid w:val="006D461E"/>
    <w:rsid w:val="006D595C"/>
    <w:rsid w:val="006D66C1"/>
    <w:rsid w:val="006D69A5"/>
    <w:rsid w:val="006D7478"/>
    <w:rsid w:val="006D76A8"/>
    <w:rsid w:val="006E0028"/>
    <w:rsid w:val="006E1475"/>
    <w:rsid w:val="006E19AC"/>
    <w:rsid w:val="006E2635"/>
    <w:rsid w:val="006E2E45"/>
    <w:rsid w:val="006E52BE"/>
    <w:rsid w:val="006E76BA"/>
    <w:rsid w:val="006F2C43"/>
    <w:rsid w:val="006F2CB0"/>
    <w:rsid w:val="006F32B7"/>
    <w:rsid w:val="006F57FC"/>
    <w:rsid w:val="006F610E"/>
    <w:rsid w:val="006F659A"/>
    <w:rsid w:val="006F6A7B"/>
    <w:rsid w:val="0070091F"/>
    <w:rsid w:val="00702429"/>
    <w:rsid w:val="0070605F"/>
    <w:rsid w:val="007060F2"/>
    <w:rsid w:val="00710722"/>
    <w:rsid w:val="007111FF"/>
    <w:rsid w:val="00712F01"/>
    <w:rsid w:val="00712F9F"/>
    <w:rsid w:val="007138D2"/>
    <w:rsid w:val="00715E90"/>
    <w:rsid w:val="00717FD1"/>
    <w:rsid w:val="00731423"/>
    <w:rsid w:val="00731A57"/>
    <w:rsid w:val="00731E32"/>
    <w:rsid w:val="00733A23"/>
    <w:rsid w:val="007353C7"/>
    <w:rsid w:val="00737492"/>
    <w:rsid w:val="007404B1"/>
    <w:rsid w:val="00740980"/>
    <w:rsid w:val="007443E5"/>
    <w:rsid w:val="0074466B"/>
    <w:rsid w:val="007447D5"/>
    <w:rsid w:val="00746BBB"/>
    <w:rsid w:val="0075027B"/>
    <w:rsid w:val="007505E7"/>
    <w:rsid w:val="0075146A"/>
    <w:rsid w:val="00751CA3"/>
    <w:rsid w:val="007560FF"/>
    <w:rsid w:val="007617D3"/>
    <w:rsid w:val="00763D75"/>
    <w:rsid w:val="0076416D"/>
    <w:rsid w:val="007642EE"/>
    <w:rsid w:val="00766DFC"/>
    <w:rsid w:val="007713DE"/>
    <w:rsid w:val="007718EE"/>
    <w:rsid w:val="00773730"/>
    <w:rsid w:val="0078021C"/>
    <w:rsid w:val="00780B1A"/>
    <w:rsid w:val="00780E4F"/>
    <w:rsid w:val="00780E78"/>
    <w:rsid w:val="007828AB"/>
    <w:rsid w:val="00784CC5"/>
    <w:rsid w:val="00785D9E"/>
    <w:rsid w:val="00793180"/>
    <w:rsid w:val="00793E02"/>
    <w:rsid w:val="00794EF8"/>
    <w:rsid w:val="0079697B"/>
    <w:rsid w:val="0079725D"/>
    <w:rsid w:val="007A08B5"/>
    <w:rsid w:val="007A0B5B"/>
    <w:rsid w:val="007A16A4"/>
    <w:rsid w:val="007A19C3"/>
    <w:rsid w:val="007A4D3B"/>
    <w:rsid w:val="007A4E6E"/>
    <w:rsid w:val="007A5ADA"/>
    <w:rsid w:val="007A6823"/>
    <w:rsid w:val="007A7244"/>
    <w:rsid w:val="007A7EE2"/>
    <w:rsid w:val="007B0033"/>
    <w:rsid w:val="007B2006"/>
    <w:rsid w:val="007B22AB"/>
    <w:rsid w:val="007B24A0"/>
    <w:rsid w:val="007B473C"/>
    <w:rsid w:val="007B5A74"/>
    <w:rsid w:val="007C0271"/>
    <w:rsid w:val="007C06CA"/>
    <w:rsid w:val="007C1E55"/>
    <w:rsid w:val="007C2B20"/>
    <w:rsid w:val="007C377A"/>
    <w:rsid w:val="007C4EB1"/>
    <w:rsid w:val="007C504C"/>
    <w:rsid w:val="007C5080"/>
    <w:rsid w:val="007C53CC"/>
    <w:rsid w:val="007C64EC"/>
    <w:rsid w:val="007D16E2"/>
    <w:rsid w:val="007D1ACD"/>
    <w:rsid w:val="007D24E5"/>
    <w:rsid w:val="007D3248"/>
    <w:rsid w:val="007D4F67"/>
    <w:rsid w:val="007D686F"/>
    <w:rsid w:val="007D7161"/>
    <w:rsid w:val="007D7D95"/>
    <w:rsid w:val="007E06D2"/>
    <w:rsid w:val="007E07EB"/>
    <w:rsid w:val="007E0B3A"/>
    <w:rsid w:val="007E784B"/>
    <w:rsid w:val="007F4651"/>
    <w:rsid w:val="007F52B2"/>
    <w:rsid w:val="007F6A99"/>
    <w:rsid w:val="007F76FB"/>
    <w:rsid w:val="007F7862"/>
    <w:rsid w:val="008009AE"/>
    <w:rsid w:val="008011EC"/>
    <w:rsid w:val="0080162E"/>
    <w:rsid w:val="0080177A"/>
    <w:rsid w:val="008018BB"/>
    <w:rsid w:val="00803572"/>
    <w:rsid w:val="00805473"/>
    <w:rsid w:val="00805F11"/>
    <w:rsid w:val="0080662C"/>
    <w:rsid w:val="00807FCB"/>
    <w:rsid w:val="00810B27"/>
    <w:rsid w:val="00811914"/>
    <w:rsid w:val="00814EA6"/>
    <w:rsid w:val="008152DE"/>
    <w:rsid w:val="00815B36"/>
    <w:rsid w:val="008165F9"/>
    <w:rsid w:val="00816926"/>
    <w:rsid w:val="0081781E"/>
    <w:rsid w:val="008202B9"/>
    <w:rsid w:val="00823634"/>
    <w:rsid w:val="0082694C"/>
    <w:rsid w:val="00827851"/>
    <w:rsid w:val="00830857"/>
    <w:rsid w:val="008319B2"/>
    <w:rsid w:val="00832582"/>
    <w:rsid w:val="008337BD"/>
    <w:rsid w:val="00833E31"/>
    <w:rsid w:val="00833E4F"/>
    <w:rsid w:val="00836296"/>
    <w:rsid w:val="00837836"/>
    <w:rsid w:val="00837C50"/>
    <w:rsid w:val="008446D1"/>
    <w:rsid w:val="00847850"/>
    <w:rsid w:val="00851B05"/>
    <w:rsid w:val="00852BE1"/>
    <w:rsid w:val="00853483"/>
    <w:rsid w:val="00853A33"/>
    <w:rsid w:val="008546AB"/>
    <w:rsid w:val="00855CCE"/>
    <w:rsid w:val="00857C9A"/>
    <w:rsid w:val="00861613"/>
    <w:rsid w:val="008639AE"/>
    <w:rsid w:val="00867E42"/>
    <w:rsid w:val="00870A56"/>
    <w:rsid w:val="00870F98"/>
    <w:rsid w:val="00871283"/>
    <w:rsid w:val="008722DF"/>
    <w:rsid w:val="00873028"/>
    <w:rsid w:val="00873902"/>
    <w:rsid w:val="00875A43"/>
    <w:rsid w:val="008762A4"/>
    <w:rsid w:val="00880259"/>
    <w:rsid w:val="0088031C"/>
    <w:rsid w:val="008805BC"/>
    <w:rsid w:val="0088177F"/>
    <w:rsid w:val="00881BF7"/>
    <w:rsid w:val="0088291E"/>
    <w:rsid w:val="008833C2"/>
    <w:rsid w:val="008852DD"/>
    <w:rsid w:val="008860FF"/>
    <w:rsid w:val="00886FCF"/>
    <w:rsid w:val="00887DD6"/>
    <w:rsid w:val="0089048F"/>
    <w:rsid w:val="00891CCC"/>
    <w:rsid w:val="008922DA"/>
    <w:rsid w:val="0089584D"/>
    <w:rsid w:val="00895989"/>
    <w:rsid w:val="008A0119"/>
    <w:rsid w:val="008A21B0"/>
    <w:rsid w:val="008A42F7"/>
    <w:rsid w:val="008A6201"/>
    <w:rsid w:val="008A66E5"/>
    <w:rsid w:val="008A7108"/>
    <w:rsid w:val="008B0A0C"/>
    <w:rsid w:val="008B1624"/>
    <w:rsid w:val="008B16B5"/>
    <w:rsid w:val="008B238C"/>
    <w:rsid w:val="008B27EC"/>
    <w:rsid w:val="008B4B35"/>
    <w:rsid w:val="008B51A3"/>
    <w:rsid w:val="008B5737"/>
    <w:rsid w:val="008B63B2"/>
    <w:rsid w:val="008C07D5"/>
    <w:rsid w:val="008C36E2"/>
    <w:rsid w:val="008C5089"/>
    <w:rsid w:val="008C50C7"/>
    <w:rsid w:val="008C5B08"/>
    <w:rsid w:val="008C7A90"/>
    <w:rsid w:val="008D0052"/>
    <w:rsid w:val="008D22AD"/>
    <w:rsid w:val="008D3437"/>
    <w:rsid w:val="008D43D6"/>
    <w:rsid w:val="008D4DA3"/>
    <w:rsid w:val="008D599E"/>
    <w:rsid w:val="008D5D5D"/>
    <w:rsid w:val="008D72DD"/>
    <w:rsid w:val="008E0133"/>
    <w:rsid w:val="008E1802"/>
    <w:rsid w:val="008E2D2B"/>
    <w:rsid w:val="008E5167"/>
    <w:rsid w:val="008E699A"/>
    <w:rsid w:val="008E7020"/>
    <w:rsid w:val="008E79ED"/>
    <w:rsid w:val="008E7BD3"/>
    <w:rsid w:val="008E7E97"/>
    <w:rsid w:val="008F0056"/>
    <w:rsid w:val="008F1418"/>
    <w:rsid w:val="008F20FD"/>
    <w:rsid w:val="008F2931"/>
    <w:rsid w:val="008F3D24"/>
    <w:rsid w:val="008F4A44"/>
    <w:rsid w:val="008F628E"/>
    <w:rsid w:val="008F6529"/>
    <w:rsid w:val="008F66EC"/>
    <w:rsid w:val="008F6809"/>
    <w:rsid w:val="009001D2"/>
    <w:rsid w:val="0090035D"/>
    <w:rsid w:val="00901828"/>
    <w:rsid w:val="0090299B"/>
    <w:rsid w:val="0090399C"/>
    <w:rsid w:val="009039F5"/>
    <w:rsid w:val="00904710"/>
    <w:rsid w:val="00906F9A"/>
    <w:rsid w:val="0091001E"/>
    <w:rsid w:val="00913027"/>
    <w:rsid w:val="00914CC5"/>
    <w:rsid w:val="00915512"/>
    <w:rsid w:val="00916345"/>
    <w:rsid w:val="009168E7"/>
    <w:rsid w:val="00916A6A"/>
    <w:rsid w:val="00917381"/>
    <w:rsid w:val="009213B7"/>
    <w:rsid w:val="009221F5"/>
    <w:rsid w:val="00922373"/>
    <w:rsid w:val="00923566"/>
    <w:rsid w:val="00924330"/>
    <w:rsid w:val="00924DE9"/>
    <w:rsid w:val="00925785"/>
    <w:rsid w:val="00925CF5"/>
    <w:rsid w:val="009323F4"/>
    <w:rsid w:val="00933529"/>
    <w:rsid w:val="009342B3"/>
    <w:rsid w:val="009353A3"/>
    <w:rsid w:val="00935982"/>
    <w:rsid w:val="00935CFC"/>
    <w:rsid w:val="009367E7"/>
    <w:rsid w:val="00937ACB"/>
    <w:rsid w:val="00940788"/>
    <w:rsid w:val="00941B6E"/>
    <w:rsid w:val="00942442"/>
    <w:rsid w:val="00947E68"/>
    <w:rsid w:val="00953909"/>
    <w:rsid w:val="00954072"/>
    <w:rsid w:val="00954AC7"/>
    <w:rsid w:val="009568E1"/>
    <w:rsid w:val="00957AB1"/>
    <w:rsid w:val="00957FE8"/>
    <w:rsid w:val="00961A75"/>
    <w:rsid w:val="00962302"/>
    <w:rsid w:val="00964B0D"/>
    <w:rsid w:val="00965A92"/>
    <w:rsid w:val="009660AB"/>
    <w:rsid w:val="009721D2"/>
    <w:rsid w:val="0097511E"/>
    <w:rsid w:val="0097637D"/>
    <w:rsid w:val="009773B0"/>
    <w:rsid w:val="00980C8C"/>
    <w:rsid w:val="00981845"/>
    <w:rsid w:val="009827CE"/>
    <w:rsid w:val="00983EE5"/>
    <w:rsid w:val="00983F7D"/>
    <w:rsid w:val="009864FA"/>
    <w:rsid w:val="009866EF"/>
    <w:rsid w:val="009869D8"/>
    <w:rsid w:val="00986F67"/>
    <w:rsid w:val="009878E2"/>
    <w:rsid w:val="009919E3"/>
    <w:rsid w:val="00992E0F"/>
    <w:rsid w:val="00993551"/>
    <w:rsid w:val="00996549"/>
    <w:rsid w:val="009976FA"/>
    <w:rsid w:val="009A0449"/>
    <w:rsid w:val="009A1AE0"/>
    <w:rsid w:val="009A2104"/>
    <w:rsid w:val="009A259A"/>
    <w:rsid w:val="009A32D8"/>
    <w:rsid w:val="009A3372"/>
    <w:rsid w:val="009A3C1B"/>
    <w:rsid w:val="009A4A1B"/>
    <w:rsid w:val="009A4CB2"/>
    <w:rsid w:val="009A4FBD"/>
    <w:rsid w:val="009A527A"/>
    <w:rsid w:val="009A57FC"/>
    <w:rsid w:val="009A7313"/>
    <w:rsid w:val="009B1806"/>
    <w:rsid w:val="009B2337"/>
    <w:rsid w:val="009B6690"/>
    <w:rsid w:val="009C0CF6"/>
    <w:rsid w:val="009C1CC3"/>
    <w:rsid w:val="009C2795"/>
    <w:rsid w:val="009C3791"/>
    <w:rsid w:val="009C5BB2"/>
    <w:rsid w:val="009C77CB"/>
    <w:rsid w:val="009D0BFF"/>
    <w:rsid w:val="009D1F87"/>
    <w:rsid w:val="009D2C88"/>
    <w:rsid w:val="009D6A87"/>
    <w:rsid w:val="009D7A2B"/>
    <w:rsid w:val="009D7CFE"/>
    <w:rsid w:val="009D7E7A"/>
    <w:rsid w:val="009E0E3A"/>
    <w:rsid w:val="009E12C1"/>
    <w:rsid w:val="009E3373"/>
    <w:rsid w:val="009E4432"/>
    <w:rsid w:val="009E47CF"/>
    <w:rsid w:val="009E49D1"/>
    <w:rsid w:val="009E52AB"/>
    <w:rsid w:val="009E5F73"/>
    <w:rsid w:val="009E73DE"/>
    <w:rsid w:val="009E74F0"/>
    <w:rsid w:val="009F18E5"/>
    <w:rsid w:val="009F3271"/>
    <w:rsid w:val="009F3FBB"/>
    <w:rsid w:val="009F53D5"/>
    <w:rsid w:val="009F5FB5"/>
    <w:rsid w:val="009F6CDB"/>
    <w:rsid w:val="009F7243"/>
    <w:rsid w:val="00A030AC"/>
    <w:rsid w:val="00A03CA8"/>
    <w:rsid w:val="00A04DB4"/>
    <w:rsid w:val="00A06990"/>
    <w:rsid w:val="00A0755D"/>
    <w:rsid w:val="00A109BD"/>
    <w:rsid w:val="00A1194C"/>
    <w:rsid w:val="00A131CE"/>
    <w:rsid w:val="00A1367C"/>
    <w:rsid w:val="00A136A1"/>
    <w:rsid w:val="00A14BEB"/>
    <w:rsid w:val="00A20DBD"/>
    <w:rsid w:val="00A21BB4"/>
    <w:rsid w:val="00A22038"/>
    <w:rsid w:val="00A22048"/>
    <w:rsid w:val="00A22C6D"/>
    <w:rsid w:val="00A237CE"/>
    <w:rsid w:val="00A24AF2"/>
    <w:rsid w:val="00A26CBA"/>
    <w:rsid w:val="00A27736"/>
    <w:rsid w:val="00A304BA"/>
    <w:rsid w:val="00A30B2F"/>
    <w:rsid w:val="00A3101D"/>
    <w:rsid w:val="00A31AE4"/>
    <w:rsid w:val="00A32D8B"/>
    <w:rsid w:val="00A346C5"/>
    <w:rsid w:val="00A34DC2"/>
    <w:rsid w:val="00A35F38"/>
    <w:rsid w:val="00A36032"/>
    <w:rsid w:val="00A40874"/>
    <w:rsid w:val="00A40B49"/>
    <w:rsid w:val="00A41300"/>
    <w:rsid w:val="00A415DB"/>
    <w:rsid w:val="00A41CC3"/>
    <w:rsid w:val="00A456F9"/>
    <w:rsid w:val="00A5072D"/>
    <w:rsid w:val="00A5191B"/>
    <w:rsid w:val="00A51C1A"/>
    <w:rsid w:val="00A53B2C"/>
    <w:rsid w:val="00A573C5"/>
    <w:rsid w:val="00A60839"/>
    <w:rsid w:val="00A615C9"/>
    <w:rsid w:val="00A61AEE"/>
    <w:rsid w:val="00A63FBB"/>
    <w:rsid w:val="00A64F20"/>
    <w:rsid w:val="00A7203A"/>
    <w:rsid w:val="00A72F6A"/>
    <w:rsid w:val="00A73D19"/>
    <w:rsid w:val="00A755CC"/>
    <w:rsid w:val="00A768A6"/>
    <w:rsid w:val="00A77295"/>
    <w:rsid w:val="00A80C96"/>
    <w:rsid w:val="00A821C2"/>
    <w:rsid w:val="00A93618"/>
    <w:rsid w:val="00A95354"/>
    <w:rsid w:val="00AA19E4"/>
    <w:rsid w:val="00AA5A46"/>
    <w:rsid w:val="00AA6009"/>
    <w:rsid w:val="00AA67F5"/>
    <w:rsid w:val="00AB0276"/>
    <w:rsid w:val="00AB056D"/>
    <w:rsid w:val="00AB06EA"/>
    <w:rsid w:val="00AB1AC0"/>
    <w:rsid w:val="00AB44CE"/>
    <w:rsid w:val="00AB713F"/>
    <w:rsid w:val="00AC189C"/>
    <w:rsid w:val="00AC37F5"/>
    <w:rsid w:val="00AC3A5A"/>
    <w:rsid w:val="00AC3A5E"/>
    <w:rsid w:val="00AC4EC8"/>
    <w:rsid w:val="00AC519F"/>
    <w:rsid w:val="00AC55BB"/>
    <w:rsid w:val="00AC7D3A"/>
    <w:rsid w:val="00AD1ABF"/>
    <w:rsid w:val="00AD2FDD"/>
    <w:rsid w:val="00AD3577"/>
    <w:rsid w:val="00AD3621"/>
    <w:rsid w:val="00AD3E13"/>
    <w:rsid w:val="00AD3E30"/>
    <w:rsid w:val="00AD3E6A"/>
    <w:rsid w:val="00AD671C"/>
    <w:rsid w:val="00AE0D5A"/>
    <w:rsid w:val="00AE22B5"/>
    <w:rsid w:val="00AE2703"/>
    <w:rsid w:val="00AE51AA"/>
    <w:rsid w:val="00AE649F"/>
    <w:rsid w:val="00AE6DF4"/>
    <w:rsid w:val="00AF02D7"/>
    <w:rsid w:val="00AF08B5"/>
    <w:rsid w:val="00AF4BF0"/>
    <w:rsid w:val="00AF4FFD"/>
    <w:rsid w:val="00AF54DB"/>
    <w:rsid w:val="00AF569C"/>
    <w:rsid w:val="00AF62B3"/>
    <w:rsid w:val="00AF78A8"/>
    <w:rsid w:val="00B00A7B"/>
    <w:rsid w:val="00B01212"/>
    <w:rsid w:val="00B017CA"/>
    <w:rsid w:val="00B031D3"/>
    <w:rsid w:val="00B049EE"/>
    <w:rsid w:val="00B04DA8"/>
    <w:rsid w:val="00B05148"/>
    <w:rsid w:val="00B05793"/>
    <w:rsid w:val="00B06DD9"/>
    <w:rsid w:val="00B07EFA"/>
    <w:rsid w:val="00B10B50"/>
    <w:rsid w:val="00B128FB"/>
    <w:rsid w:val="00B15A24"/>
    <w:rsid w:val="00B21107"/>
    <w:rsid w:val="00B21327"/>
    <w:rsid w:val="00B23436"/>
    <w:rsid w:val="00B242E6"/>
    <w:rsid w:val="00B24973"/>
    <w:rsid w:val="00B254FA"/>
    <w:rsid w:val="00B25CB8"/>
    <w:rsid w:val="00B26538"/>
    <w:rsid w:val="00B300F5"/>
    <w:rsid w:val="00B30E15"/>
    <w:rsid w:val="00B3176E"/>
    <w:rsid w:val="00B31E01"/>
    <w:rsid w:val="00B34831"/>
    <w:rsid w:val="00B35DAB"/>
    <w:rsid w:val="00B42A6A"/>
    <w:rsid w:val="00B42AAF"/>
    <w:rsid w:val="00B44726"/>
    <w:rsid w:val="00B459FF"/>
    <w:rsid w:val="00B46F26"/>
    <w:rsid w:val="00B47102"/>
    <w:rsid w:val="00B474E5"/>
    <w:rsid w:val="00B50682"/>
    <w:rsid w:val="00B522D9"/>
    <w:rsid w:val="00B548AC"/>
    <w:rsid w:val="00B5605E"/>
    <w:rsid w:val="00B56683"/>
    <w:rsid w:val="00B56CAA"/>
    <w:rsid w:val="00B56D08"/>
    <w:rsid w:val="00B614F5"/>
    <w:rsid w:val="00B63099"/>
    <w:rsid w:val="00B6318B"/>
    <w:rsid w:val="00B6369C"/>
    <w:rsid w:val="00B64026"/>
    <w:rsid w:val="00B64F09"/>
    <w:rsid w:val="00B6551C"/>
    <w:rsid w:val="00B66A48"/>
    <w:rsid w:val="00B66DC9"/>
    <w:rsid w:val="00B66ED2"/>
    <w:rsid w:val="00B70B11"/>
    <w:rsid w:val="00B71149"/>
    <w:rsid w:val="00B71747"/>
    <w:rsid w:val="00B72B06"/>
    <w:rsid w:val="00B72CC5"/>
    <w:rsid w:val="00B7375D"/>
    <w:rsid w:val="00B73778"/>
    <w:rsid w:val="00B74A5D"/>
    <w:rsid w:val="00B75FEB"/>
    <w:rsid w:val="00B80087"/>
    <w:rsid w:val="00B805C4"/>
    <w:rsid w:val="00B83701"/>
    <w:rsid w:val="00B86053"/>
    <w:rsid w:val="00B86169"/>
    <w:rsid w:val="00B86194"/>
    <w:rsid w:val="00B8622D"/>
    <w:rsid w:val="00B903CB"/>
    <w:rsid w:val="00B92748"/>
    <w:rsid w:val="00B96F8D"/>
    <w:rsid w:val="00BA1CFC"/>
    <w:rsid w:val="00BA1FCA"/>
    <w:rsid w:val="00BA27BF"/>
    <w:rsid w:val="00BB0383"/>
    <w:rsid w:val="00BB2D79"/>
    <w:rsid w:val="00BB4167"/>
    <w:rsid w:val="00BB5D88"/>
    <w:rsid w:val="00BB74A7"/>
    <w:rsid w:val="00BB77F5"/>
    <w:rsid w:val="00BC0BF0"/>
    <w:rsid w:val="00BC1C56"/>
    <w:rsid w:val="00BC2E82"/>
    <w:rsid w:val="00BC3566"/>
    <w:rsid w:val="00BC532B"/>
    <w:rsid w:val="00BC65EA"/>
    <w:rsid w:val="00BC6D15"/>
    <w:rsid w:val="00BD073E"/>
    <w:rsid w:val="00BD0ED2"/>
    <w:rsid w:val="00BD1349"/>
    <w:rsid w:val="00BD1B23"/>
    <w:rsid w:val="00BD1CC0"/>
    <w:rsid w:val="00BD211C"/>
    <w:rsid w:val="00BD288F"/>
    <w:rsid w:val="00BD29A2"/>
    <w:rsid w:val="00BD3224"/>
    <w:rsid w:val="00BD38FB"/>
    <w:rsid w:val="00BD3CEE"/>
    <w:rsid w:val="00BD4788"/>
    <w:rsid w:val="00BD7D3D"/>
    <w:rsid w:val="00BE10C2"/>
    <w:rsid w:val="00BE1234"/>
    <w:rsid w:val="00BE1340"/>
    <w:rsid w:val="00BE2CB5"/>
    <w:rsid w:val="00BE482E"/>
    <w:rsid w:val="00BE5757"/>
    <w:rsid w:val="00BE6A9D"/>
    <w:rsid w:val="00BE6FD7"/>
    <w:rsid w:val="00BF0819"/>
    <w:rsid w:val="00BF2EA0"/>
    <w:rsid w:val="00BF647B"/>
    <w:rsid w:val="00BF74E7"/>
    <w:rsid w:val="00C009A4"/>
    <w:rsid w:val="00C015F3"/>
    <w:rsid w:val="00C03D3D"/>
    <w:rsid w:val="00C05C30"/>
    <w:rsid w:val="00C078BC"/>
    <w:rsid w:val="00C11004"/>
    <w:rsid w:val="00C11766"/>
    <w:rsid w:val="00C1228C"/>
    <w:rsid w:val="00C13D2C"/>
    <w:rsid w:val="00C161F1"/>
    <w:rsid w:val="00C16B18"/>
    <w:rsid w:val="00C16D2A"/>
    <w:rsid w:val="00C21469"/>
    <w:rsid w:val="00C21F69"/>
    <w:rsid w:val="00C230F6"/>
    <w:rsid w:val="00C24724"/>
    <w:rsid w:val="00C24D74"/>
    <w:rsid w:val="00C25B1D"/>
    <w:rsid w:val="00C2610B"/>
    <w:rsid w:val="00C27EE7"/>
    <w:rsid w:val="00C3014D"/>
    <w:rsid w:val="00C326A0"/>
    <w:rsid w:val="00C34D94"/>
    <w:rsid w:val="00C34DE3"/>
    <w:rsid w:val="00C35507"/>
    <w:rsid w:val="00C4055C"/>
    <w:rsid w:val="00C40564"/>
    <w:rsid w:val="00C40EED"/>
    <w:rsid w:val="00C41ABD"/>
    <w:rsid w:val="00C422E5"/>
    <w:rsid w:val="00C46272"/>
    <w:rsid w:val="00C511C1"/>
    <w:rsid w:val="00C51F0A"/>
    <w:rsid w:val="00C52357"/>
    <w:rsid w:val="00C53524"/>
    <w:rsid w:val="00C548F8"/>
    <w:rsid w:val="00C56F5D"/>
    <w:rsid w:val="00C56F5F"/>
    <w:rsid w:val="00C601E4"/>
    <w:rsid w:val="00C607E1"/>
    <w:rsid w:val="00C60A4F"/>
    <w:rsid w:val="00C63D3B"/>
    <w:rsid w:val="00C63DDE"/>
    <w:rsid w:val="00C646B6"/>
    <w:rsid w:val="00C6598A"/>
    <w:rsid w:val="00C6790B"/>
    <w:rsid w:val="00C7039B"/>
    <w:rsid w:val="00C70AC9"/>
    <w:rsid w:val="00C71216"/>
    <w:rsid w:val="00C71357"/>
    <w:rsid w:val="00C735EA"/>
    <w:rsid w:val="00C74064"/>
    <w:rsid w:val="00C77164"/>
    <w:rsid w:val="00C77E70"/>
    <w:rsid w:val="00C80A0B"/>
    <w:rsid w:val="00C82B7C"/>
    <w:rsid w:val="00C838F6"/>
    <w:rsid w:val="00C8522D"/>
    <w:rsid w:val="00C86AB7"/>
    <w:rsid w:val="00C92362"/>
    <w:rsid w:val="00C92BB6"/>
    <w:rsid w:val="00C93E42"/>
    <w:rsid w:val="00C948EA"/>
    <w:rsid w:val="00C9551A"/>
    <w:rsid w:val="00C96964"/>
    <w:rsid w:val="00C96CB1"/>
    <w:rsid w:val="00C9722D"/>
    <w:rsid w:val="00C97FF0"/>
    <w:rsid w:val="00CA279A"/>
    <w:rsid w:val="00CA47AB"/>
    <w:rsid w:val="00CA6898"/>
    <w:rsid w:val="00CB0F49"/>
    <w:rsid w:val="00CB3289"/>
    <w:rsid w:val="00CB45C5"/>
    <w:rsid w:val="00CB4BB1"/>
    <w:rsid w:val="00CB5D67"/>
    <w:rsid w:val="00CB65AD"/>
    <w:rsid w:val="00CC085E"/>
    <w:rsid w:val="00CC1106"/>
    <w:rsid w:val="00CC1182"/>
    <w:rsid w:val="00CC457A"/>
    <w:rsid w:val="00CC4EB3"/>
    <w:rsid w:val="00CC6910"/>
    <w:rsid w:val="00CC7205"/>
    <w:rsid w:val="00CD147A"/>
    <w:rsid w:val="00CD3964"/>
    <w:rsid w:val="00CD5089"/>
    <w:rsid w:val="00CD6C69"/>
    <w:rsid w:val="00CD7457"/>
    <w:rsid w:val="00CE02EA"/>
    <w:rsid w:val="00CE15EB"/>
    <w:rsid w:val="00CE4741"/>
    <w:rsid w:val="00CE5136"/>
    <w:rsid w:val="00CE55E4"/>
    <w:rsid w:val="00CE7C72"/>
    <w:rsid w:val="00CF1D44"/>
    <w:rsid w:val="00CF323A"/>
    <w:rsid w:val="00CF62C9"/>
    <w:rsid w:val="00D01BEF"/>
    <w:rsid w:val="00D0270E"/>
    <w:rsid w:val="00D028C5"/>
    <w:rsid w:val="00D04452"/>
    <w:rsid w:val="00D058A3"/>
    <w:rsid w:val="00D0615B"/>
    <w:rsid w:val="00D10221"/>
    <w:rsid w:val="00D10C11"/>
    <w:rsid w:val="00D11028"/>
    <w:rsid w:val="00D11282"/>
    <w:rsid w:val="00D14778"/>
    <w:rsid w:val="00D1582B"/>
    <w:rsid w:val="00D158B7"/>
    <w:rsid w:val="00D15E49"/>
    <w:rsid w:val="00D202B5"/>
    <w:rsid w:val="00D22360"/>
    <w:rsid w:val="00D246BB"/>
    <w:rsid w:val="00D25FDE"/>
    <w:rsid w:val="00D26729"/>
    <w:rsid w:val="00D26746"/>
    <w:rsid w:val="00D3154D"/>
    <w:rsid w:val="00D32100"/>
    <w:rsid w:val="00D326FD"/>
    <w:rsid w:val="00D328E0"/>
    <w:rsid w:val="00D3457F"/>
    <w:rsid w:val="00D40A47"/>
    <w:rsid w:val="00D40E85"/>
    <w:rsid w:val="00D41F15"/>
    <w:rsid w:val="00D46F3F"/>
    <w:rsid w:val="00D473D8"/>
    <w:rsid w:val="00D50995"/>
    <w:rsid w:val="00D515C3"/>
    <w:rsid w:val="00D53507"/>
    <w:rsid w:val="00D53E31"/>
    <w:rsid w:val="00D54BDC"/>
    <w:rsid w:val="00D57392"/>
    <w:rsid w:val="00D573E3"/>
    <w:rsid w:val="00D574F6"/>
    <w:rsid w:val="00D57DE2"/>
    <w:rsid w:val="00D60488"/>
    <w:rsid w:val="00D621D0"/>
    <w:rsid w:val="00D63C17"/>
    <w:rsid w:val="00D63DA8"/>
    <w:rsid w:val="00D63DAA"/>
    <w:rsid w:val="00D6453D"/>
    <w:rsid w:val="00D656AE"/>
    <w:rsid w:val="00D66962"/>
    <w:rsid w:val="00D66A18"/>
    <w:rsid w:val="00D709A2"/>
    <w:rsid w:val="00D75EBD"/>
    <w:rsid w:val="00D76C0E"/>
    <w:rsid w:val="00D7725C"/>
    <w:rsid w:val="00D80A2D"/>
    <w:rsid w:val="00D82AA6"/>
    <w:rsid w:val="00D82B39"/>
    <w:rsid w:val="00D84AF4"/>
    <w:rsid w:val="00D91324"/>
    <w:rsid w:val="00D925A2"/>
    <w:rsid w:val="00D925CA"/>
    <w:rsid w:val="00D95EB5"/>
    <w:rsid w:val="00D97363"/>
    <w:rsid w:val="00DA31DE"/>
    <w:rsid w:val="00DA360D"/>
    <w:rsid w:val="00DA4028"/>
    <w:rsid w:val="00DA4CC2"/>
    <w:rsid w:val="00DA7778"/>
    <w:rsid w:val="00DB07AB"/>
    <w:rsid w:val="00DB1225"/>
    <w:rsid w:val="00DB1AC9"/>
    <w:rsid w:val="00DB1D60"/>
    <w:rsid w:val="00DB4818"/>
    <w:rsid w:val="00DB6C0A"/>
    <w:rsid w:val="00DB79B2"/>
    <w:rsid w:val="00DC2C85"/>
    <w:rsid w:val="00DC2FC2"/>
    <w:rsid w:val="00DC4BA7"/>
    <w:rsid w:val="00DC5396"/>
    <w:rsid w:val="00DC7494"/>
    <w:rsid w:val="00DD0DED"/>
    <w:rsid w:val="00DD243E"/>
    <w:rsid w:val="00DD3144"/>
    <w:rsid w:val="00DD5660"/>
    <w:rsid w:val="00DD5AF5"/>
    <w:rsid w:val="00DE10BE"/>
    <w:rsid w:val="00DE2A97"/>
    <w:rsid w:val="00DE5646"/>
    <w:rsid w:val="00DE5F6B"/>
    <w:rsid w:val="00DE6EA9"/>
    <w:rsid w:val="00DE7293"/>
    <w:rsid w:val="00DE7674"/>
    <w:rsid w:val="00DF1789"/>
    <w:rsid w:val="00DF1F64"/>
    <w:rsid w:val="00DF3CE1"/>
    <w:rsid w:val="00DF3EFD"/>
    <w:rsid w:val="00DF565B"/>
    <w:rsid w:val="00E031DB"/>
    <w:rsid w:val="00E03B5D"/>
    <w:rsid w:val="00E0511A"/>
    <w:rsid w:val="00E05EF9"/>
    <w:rsid w:val="00E0741C"/>
    <w:rsid w:val="00E078D2"/>
    <w:rsid w:val="00E11C67"/>
    <w:rsid w:val="00E12428"/>
    <w:rsid w:val="00E131D8"/>
    <w:rsid w:val="00E1399D"/>
    <w:rsid w:val="00E152BA"/>
    <w:rsid w:val="00E1582C"/>
    <w:rsid w:val="00E16A8F"/>
    <w:rsid w:val="00E20097"/>
    <w:rsid w:val="00E206F5"/>
    <w:rsid w:val="00E2151F"/>
    <w:rsid w:val="00E2410A"/>
    <w:rsid w:val="00E262ED"/>
    <w:rsid w:val="00E27BC4"/>
    <w:rsid w:val="00E32892"/>
    <w:rsid w:val="00E35E24"/>
    <w:rsid w:val="00E362AE"/>
    <w:rsid w:val="00E40567"/>
    <w:rsid w:val="00E43CE6"/>
    <w:rsid w:val="00E4432C"/>
    <w:rsid w:val="00E479B8"/>
    <w:rsid w:val="00E51307"/>
    <w:rsid w:val="00E5146B"/>
    <w:rsid w:val="00E53A85"/>
    <w:rsid w:val="00E53AA2"/>
    <w:rsid w:val="00E53BAB"/>
    <w:rsid w:val="00E55857"/>
    <w:rsid w:val="00E569DE"/>
    <w:rsid w:val="00E57DCB"/>
    <w:rsid w:val="00E60F26"/>
    <w:rsid w:val="00E62131"/>
    <w:rsid w:val="00E63635"/>
    <w:rsid w:val="00E6380B"/>
    <w:rsid w:val="00E63D13"/>
    <w:rsid w:val="00E64864"/>
    <w:rsid w:val="00E64A2F"/>
    <w:rsid w:val="00E705F3"/>
    <w:rsid w:val="00E719B1"/>
    <w:rsid w:val="00E72DC0"/>
    <w:rsid w:val="00E73A3C"/>
    <w:rsid w:val="00E74790"/>
    <w:rsid w:val="00E75332"/>
    <w:rsid w:val="00E75A39"/>
    <w:rsid w:val="00E777AE"/>
    <w:rsid w:val="00E800F5"/>
    <w:rsid w:val="00E8066C"/>
    <w:rsid w:val="00E808FE"/>
    <w:rsid w:val="00E80AB7"/>
    <w:rsid w:val="00E80D82"/>
    <w:rsid w:val="00E82380"/>
    <w:rsid w:val="00E829D9"/>
    <w:rsid w:val="00E849A1"/>
    <w:rsid w:val="00E85110"/>
    <w:rsid w:val="00E9407B"/>
    <w:rsid w:val="00E94099"/>
    <w:rsid w:val="00E9425A"/>
    <w:rsid w:val="00E9434C"/>
    <w:rsid w:val="00E955F5"/>
    <w:rsid w:val="00E965ED"/>
    <w:rsid w:val="00E96F28"/>
    <w:rsid w:val="00EA1F5F"/>
    <w:rsid w:val="00EA2879"/>
    <w:rsid w:val="00EA2CC1"/>
    <w:rsid w:val="00EA345F"/>
    <w:rsid w:val="00EA3833"/>
    <w:rsid w:val="00EA3847"/>
    <w:rsid w:val="00EA4166"/>
    <w:rsid w:val="00EA4C74"/>
    <w:rsid w:val="00EA59A1"/>
    <w:rsid w:val="00EA59AF"/>
    <w:rsid w:val="00EA6E16"/>
    <w:rsid w:val="00EA761C"/>
    <w:rsid w:val="00EA7D93"/>
    <w:rsid w:val="00EB02C1"/>
    <w:rsid w:val="00EB0834"/>
    <w:rsid w:val="00EB0C56"/>
    <w:rsid w:val="00EB15B8"/>
    <w:rsid w:val="00EB1737"/>
    <w:rsid w:val="00EB1D81"/>
    <w:rsid w:val="00EB2D81"/>
    <w:rsid w:val="00EB4F08"/>
    <w:rsid w:val="00EB6FB5"/>
    <w:rsid w:val="00EB757E"/>
    <w:rsid w:val="00EB7A21"/>
    <w:rsid w:val="00EC3683"/>
    <w:rsid w:val="00EC39DA"/>
    <w:rsid w:val="00ED0286"/>
    <w:rsid w:val="00ED1FC2"/>
    <w:rsid w:val="00ED3576"/>
    <w:rsid w:val="00EE0E16"/>
    <w:rsid w:val="00EE19CC"/>
    <w:rsid w:val="00EE1ECB"/>
    <w:rsid w:val="00EE25ED"/>
    <w:rsid w:val="00EE3656"/>
    <w:rsid w:val="00EE3871"/>
    <w:rsid w:val="00EE3D28"/>
    <w:rsid w:val="00EE3D4E"/>
    <w:rsid w:val="00EE446B"/>
    <w:rsid w:val="00EE4644"/>
    <w:rsid w:val="00EE47EA"/>
    <w:rsid w:val="00EE6009"/>
    <w:rsid w:val="00EE7156"/>
    <w:rsid w:val="00EE7D8A"/>
    <w:rsid w:val="00EF0B55"/>
    <w:rsid w:val="00EF24B7"/>
    <w:rsid w:val="00EF39BE"/>
    <w:rsid w:val="00EF6B34"/>
    <w:rsid w:val="00F00486"/>
    <w:rsid w:val="00F006C4"/>
    <w:rsid w:val="00F01703"/>
    <w:rsid w:val="00F0434F"/>
    <w:rsid w:val="00F047DC"/>
    <w:rsid w:val="00F04BC0"/>
    <w:rsid w:val="00F07172"/>
    <w:rsid w:val="00F0729D"/>
    <w:rsid w:val="00F11088"/>
    <w:rsid w:val="00F137D2"/>
    <w:rsid w:val="00F13BCF"/>
    <w:rsid w:val="00F13BD3"/>
    <w:rsid w:val="00F149AA"/>
    <w:rsid w:val="00F16F9F"/>
    <w:rsid w:val="00F17779"/>
    <w:rsid w:val="00F17D00"/>
    <w:rsid w:val="00F20489"/>
    <w:rsid w:val="00F23A48"/>
    <w:rsid w:val="00F255C5"/>
    <w:rsid w:val="00F25ABF"/>
    <w:rsid w:val="00F25B08"/>
    <w:rsid w:val="00F27C0B"/>
    <w:rsid w:val="00F30169"/>
    <w:rsid w:val="00F32963"/>
    <w:rsid w:val="00F329E5"/>
    <w:rsid w:val="00F336A2"/>
    <w:rsid w:val="00F3787D"/>
    <w:rsid w:val="00F4070D"/>
    <w:rsid w:val="00F432AF"/>
    <w:rsid w:val="00F45BE1"/>
    <w:rsid w:val="00F45D91"/>
    <w:rsid w:val="00F45F7A"/>
    <w:rsid w:val="00F50C9F"/>
    <w:rsid w:val="00F50CCD"/>
    <w:rsid w:val="00F50E46"/>
    <w:rsid w:val="00F5213A"/>
    <w:rsid w:val="00F53591"/>
    <w:rsid w:val="00F54CB9"/>
    <w:rsid w:val="00F633F0"/>
    <w:rsid w:val="00F63603"/>
    <w:rsid w:val="00F63635"/>
    <w:rsid w:val="00F63711"/>
    <w:rsid w:val="00F64E47"/>
    <w:rsid w:val="00F64FB5"/>
    <w:rsid w:val="00F65DD9"/>
    <w:rsid w:val="00F672C1"/>
    <w:rsid w:val="00F70098"/>
    <w:rsid w:val="00F73114"/>
    <w:rsid w:val="00F73B3D"/>
    <w:rsid w:val="00F8115F"/>
    <w:rsid w:val="00F835AF"/>
    <w:rsid w:val="00F868B1"/>
    <w:rsid w:val="00F90567"/>
    <w:rsid w:val="00F90767"/>
    <w:rsid w:val="00F91003"/>
    <w:rsid w:val="00F9118B"/>
    <w:rsid w:val="00F92794"/>
    <w:rsid w:val="00F931CE"/>
    <w:rsid w:val="00F93D81"/>
    <w:rsid w:val="00F942EB"/>
    <w:rsid w:val="00F94B48"/>
    <w:rsid w:val="00F9500A"/>
    <w:rsid w:val="00F97232"/>
    <w:rsid w:val="00FA01B7"/>
    <w:rsid w:val="00FA035A"/>
    <w:rsid w:val="00FA191C"/>
    <w:rsid w:val="00FA3130"/>
    <w:rsid w:val="00FA36EB"/>
    <w:rsid w:val="00FA5F2B"/>
    <w:rsid w:val="00FA67E0"/>
    <w:rsid w:val="00FB0555"/>
    <w:rsid w:val="00FB08C4"/>
    <w:rsid w:val="00FB0A39"/>
    <w:rsid w:val="00FB25A6"/>
    <w:rsid w:val="00FB303B"/>
    <w:rsid w:val="00FB5CAF"/>
    <w:rsid w:val="00FB5E3A"/>
    <w:rsid w:val="00FB7C02"/>
    <w:rsid w:val="00FC0886"/>
    <w:rsid w:val="00FC1EA3"/>
    <w:rsid w:val="00FC204A"/>
    <w:rsid w:val="00FC6319"/>
    <w:rsid w:val="00FD04A3"/>
    <w:rsid w:val="00FD1A7D"/>
    <w:rsid w:val="00FD485A"/>
    <w:rsid w:val="00FD4D4C"/>
    <w:rsid w:val="00FD52CF"/>
    <w:rsid w:val="00FD7546"/>
    <w:rsid w:val="00FD794B"/>
    <w:rsid w:val="00FD7E0A"/>
    <w:rsid w:val="00FD7E3B"/>
    <w:rsid w:val="00FE249E"/>
    <w:rsid w:val="00FE26AE"/>
    <w:rsid w:val="00FE4227"/>
    <w:rsid w:val="00FE6E1F"/>
    <w:rsid w:val="00FE751C"/>
    <w:rsid w:val="00FE75A5"/>
    <w:rsid w:val="00FF339A"/>
    <w:rsid w:val="00FF57AC"/>
    <w:rsid w:val="00FF5C4F"/>
    <w:rsid w:val="00FF5F15"/>
    <w:rsid w:val="00FF76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024182"/>
    </o:shapedefaults>
    <o:shapelayout v:ext="edit">
      <o:idmap v:ext="edit" data="1"/>
    </o:shapelayout>
  </w:shapeDefaults>
  <w:decimalSymbol w:val=","/>
  <w:listSeparator w:val=";"/>
  <w14:docId w14:val="193D61D0"/>
  <w15:docId w15:val="{64E8199F-7024-4BB7-A004-6A78C4E8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pPr>
        <w:spacing w:before="120" w:after="60"/>
        <w:jc w:val="both"/>
      </w:pPr>
    </w:pPrDefault>
  </w:docDefaults>
  <w:latentStyles w:defLockedState="0" w:defUIPriority="0" w:defSemiHidden="0" w:defUnhideWhenUsed="0" w:defQFormat="0" w:count="371">
    <w:lsdException w:name="heading 4" w:semiHidden="1" w:unhideWhenUsed="1" w:qFormat="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Osnovni stil"/>
    <w:rsid w:val="00D0615B"/>
    <w:pPr>
      <w:spacing w:before="240" w:after="240"/>
      <w:jc w:val="left"/>
    </w:pPr>
    <w:rPr>
      <w:rFonts w:ascii="Corbel" w:hAnsi="Corbel"/>
      <w:color w:val="000000" w:themeColor="text1"/>
      <w:sz w:val="24"/>
      <w:szCs w:val="24"/>
    </w:rPr>
  </w:style>
  <w:style w:type="paragraph" w:styleId="Heading1">
    <w:name w:val="heading 1"/>
    <w:basedOn w:val="Normal"/>
    <w:next w:val="Normal"/>
    <w:link w:val="Heading1Char"/>
    <w:rsid w:val="00EF39BE"/>
    <w:pPr>
      <w:keepNext/>
      <w:spacing w:before="400"/>
      <w:outlineLvl w:val="0"/>
    </w:pPr>
    <w:rPr>
      <w:rFonts w:cs="Arial"/>
      <w:b/>
      <w:bCs/>
      <w:caps/>
      <w:kern w:val="32"/>
      <w:sz w:val="36"/>
      <w:szCs w:val="32"/>
    </w:rPr>
  </w:style>
  <w:style w:type="paragraph" w:styleId="Heading2">
    <w:name w:val="heading 2"/>
    <w:basedOn w:val="Normal"/>
    <w:next w:val="Normal"/>
    <w:rsid w:val="00962302"/>
    <w:pPr>
      <w:keepNext/>
      <w:spacing w:before="400"/>
      <w:outlineLvl w:val="1"/>
    </w:pPr>
    <w:rPr>
      <w:rFonts w:cs="Arial"/>
      <w:b/>
      <w:bCs/>
      <w:iCs/>
      <w:sz w:val="28"/>
      <w:szCs w:val="28"/>
    </w:rPr>
  </w:style>
  <w:style w:type="paragraph" w:styleId="Heading3">
    <w:name w:val="heading 3"/>
    <w:basedOn w:val="Normal"/>
    <w:next w:val="Normal"/>
    <w:rsid w:val="00162E11"/>
    <w:pPr>
      <w:keepNext/>
      <w:spacing w:before="200" w:after="200"/>
      <w:contextualSpacing/>
      <w:outlineLvl w:val="2"/>
    </w:pPr>
    <w:rPr>
      <w:rFonts w:cs="Arial"/>
      <w:b/>
      <w:bCs/>
      <w:szCs w:val="26"/>
    </w:rPr>
  </w:style>
  <w:style w:type="paragraph" w:styleId="Heading4">
    <w:name w:val="heading 4"/>
    <w:basedOn w:val="Normal"/>
    <w:next w:val="Normal"/>
    <w:link w:val="Heading4Char"/>
    <w:semiHidden/>
    <w:unhideWhenUsed/>
    <w:qFormat/>
    <w:rsid w:val="001B2823"/>
    <w:pPr>
      <w:keepNext/>
      <w:keepLines/>
      <w:numPr>
        <w:ilvl w:val="3"/>
        <w:numId w:val="3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1B2823"/>
    <w:pPr>
      <w:keepNext/>
      <w:keepLines/>
      <w:numPr>
        <w:ilvl w:val="4"/>
        <w:numId w:val="3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rsid w:val="009C5BB2"/>
    <w:pPr>
      <w:keepNext/>
      <w:keepLines/>
      <w:numPr>
        <w:ilvl w:val="5"/>
        <w:numId w:val="3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B2823"/>
    <w:pPr>
      <w:keepNext/>
      <w:keepLines/>
      <w:numPr>
        <w:ilvl w:val="6"/>
        <w:numId w:val="3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B2823"/>
    <w:pPr>
      <w:keepNext/>
      <w:keepLines/>
      <w:numPr>
        <w:ilvl w:val="7"/>
        <w:numId w:val="3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B2823"/>
    <w:pPr>
      <w:keepNext/>
      <w:keepLines/>
      <w:numPr>
        <w:ilvl w:val="8"/>
        <w:numId w:val="3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
    <w:name w:val="Tekst"/>
    <w:basedOn w:val="Normal"/>
    <w:rsid w:val="00064A4F"/>
    <w:pPr>
      <w:overflowPunct w:val="0"/>
      <w:autoSpaceDE w:val="0"/>
      <w:autoSpaceDN w:val="0"/>
      <w:adjustRightInd w:val="0"/>
      <w:spacing w:line="360" w:lineRule="auto"/>
      <w:textAlignment w:val="baseline"/>
    </w:pPr>
    <w:rPr>
      <w:szCs w:val="20"/>
      <w:lang w:val="en-US"/>
    </w:rPr>
  </w:style>
  <w:style w:type="character" w:styleId="PageNumber">
    <w:name w:val="page number"/>
    <w:basedOn w:val="DefaultParagraphFont"/>
    <w:rsid w:val="00FD7E3B"/>
  </w:style>
  <w:style w:type="paragraph" w:styleId="Footer">
    <w:name w:val="footer"/>
    <w:basedOn w:val="Normal"/>
    <w:link w:val="FooterChar"/>
    <w:uiPriority w:val="99"/>
    <w:rsid w:val="009A57FC"/>
    <w:pPr>
      <w:tabs>
        <w:tab w:val="center" w:pos="4320"/>
        <w:tab w:val="right" w:pos="8640"/>
      </w:tabs>
      <w:spacing w:line="360" w:lineRule="auto"/>
      <w:jc w:val="center"/>
    </w:pPr>
    <w:rPr>
      <w:rFonts w:ascii="Calibri" w:hAnsi="Calibri"/>
      <w:color w:val="024182"/>
      <w:sz w:val="16"/>
      <w:szCs w:val="20"/>
    </w:rPr>
  </w:style>
  <w:style w:type="paragraph" w:customStyle="1" w:styleId="Uloga">
    <w:name w:val="Uloga"/>
    <w:basedOn w:val="Normal"/>
    <w:rsid w:val="00A615C9"/>
    <w:pPr>
      <w:tabs>
        <w:tab w:val="center" w:pos="7655"/>
      </w:tabs>
      <w:spacing w:after="600"/>
    </w:pPr>
    <w:rPr>
      <w:b/>
      <w:i/>
      <w:caps/>
      <w:sz w:val="20"/>
    </w:rPr>
  </w:style>
  <w:style w:type="table" w:styleId="TableGrid">
    <w:name w:val="Table Grid"/>
    <w:basedOn w:val="TableNormal"/>
    <w:rsid w:val="00FD7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01212"/>
    <w:pPr>
      <w:tabs>
        <w:tab w:val="center" w:pos="4536"/>
        <w:tab w:val="right" w:pos="9072"/>
      </w:tabs>
    </w:pPr>
    <w:rPr>
      <w:rFonts w:ascii="Calibri" w:hAnsi="Calibri"/>
      <w:color w:val="024182"/>
      <w:sz w:val="16"/>
    </w:rPr>
  </w:style>
  <w:style w:type="paragraph" w:customStyle="1" w:styleId="Uloga-ime">
    <w:name w:val="Uloga - ime"/>
    <w:basedOn w:val="Normal"/>
    <w:rsid w:val="00A615C9"/>
    <w:pPr>
      <w:tabs>
        <w:tab w:val="center" w:pos="7655"/>
      </w:tabs>
      <w:spacing w:after="600"/>
    </w:pPr>
    <w:rPr>
      <w:b/>
      <w:i/>
      <w:sz w:val="22"/>
    </w:rPr>
  </w:style>
  <w:style w:type="paragraph" w:styleId="BalloonText">
    <w:name w:val="Balloon Text"/>
    <w:basedOn w:val="Normal"/>
    <w:link w:val="BalloonTextChar"/>
    <w:rsid w:val="00AF02D7"/>
    <w:rPr>
      <w:rFonts w:ascii="Tahoma" w:hAnsi="Tahoma" w:cs="Tahoma"/>
      <w:sz w:val="16"/>
      <w:szCs w:val="16"/>
    </w:rPr>
  </w:style>
  <w:style w:type="character" w:customStyle="1" w:styleId="BalloonTextChar">
    <w:name w:val="Balloon Text Char"/>
    <w:basedOn w:val="DefaultParagraphFont"/>
    <w:link w:val="BalloonText"/>
    <w:rsid w:val="00AF02D7"/>
    <w:rPr>
      <w:rFonts w:ascii="Tahoma" w:hAnsi="Tahoma" w:cs="Tahoma"/>
      <w:sz w:val="16"/>
      <w:szCs w:val="16"/>
    </w:rPr>
  </w:style>
  <w:style w:type="character" w:styleId="Hyperlink">
    <w:name w:val="Hyperlink"/>
    <w:basedOn w:val="DefaultParagraphFont"/>
    <w:uiPriority w:val="99"/>
    <w:unhideWhenUsed/>
    <w:qFormat/>
    <w:rsid w:val="0010714D"/>
    <w:rPr>
      <w:rFonts w:ascii="Corbel" w:hAnsi="Corbel"/>
      <w:color w:val="162F65"/>
      <w:sz w:val="24"/>
      <w:u w:val="single"/>
    </w:rPr>
  </w:style>
  <w:style w:type="paragraph" w:customStyle="1" w:styleId="uloga-ime0">
    <w:name w:val="uloga-ime"/>
    <w:basedOn w:val="Normal"/>
    <w:rsid w:val="00FB0555"/>
    <w:pPr>
      <w:spacing w:after="600"/>
    </w:pPr>
    <w:rPr>
      <w:rFonts w:eastAsia="Calibri"/>
      <w:b/>
      <w:bCs/>
      <w:i/>
      <w:iCs/>
      <w:sz w:val="22"/>
      <w:szCs w:val="22"/>
    </w:rPr>
  </w:style>
  <w:style w:type="character" w:customStyle="1" w:styleId="FooterChar">
    <w:name w:val="Footer Char"/>
    <w:basedOn w:val="DefaultParagraphFont"/>
    <w:link w:val="Footer"/>
    <w:uiPriority w:val="99"/>
    <w:rsid w:val="004655F9"/>
    <w:rPr>
      <w:rFonts w:ascii="Calibri" w:hAnsi="Calibri"/>
      <w:color w:val="024182"/>
      <w:sz w:val="16"/>
    </w:rPr>
  </w:style>
  <w:style w:type="paragraph" w:styleId="NoSpacing">
    <w:name w:val="No Spacing"/>
    <w:link w:val="NoSpacingChar"/>
    <w:uiPriority w:val="1"/>
    <w:rsid w:val="007138D2"/>
    <w:rPr>
      <w:rFonts w:ascii="Corbel" w:eastAsiaTheme="minorEastAsia" w:hAnsi="Corbel" w:cstheme="minorBidi"/>
      <w:color w:val="000000" w:themeColor="text1"/>
      <w:sz w:val="22"/>
      <w:szCs w:val="22"/>
      <w:lang w:val="en-US" w:eastAsia="en-US"/>
    </w:rPr>
  </w:style>
  <w:style w:type="character" w:customStyle="1" w:styleId="NoSpacingChar">
    <w:name w:val="No Spacing Char"/>
    <w:basedOn w:val="DefaultParagraphFont"/>
    <w:link w:val="NoSpacing"/>
    <w:uiPriority w:val="1"/>
    <w:rsid w:val="007138D2"/>
    <w:rPr>
      <w:rFonts w:ascii="Corbel" w:eastAsiaTheme="minorEastAsia" w:hAnsi="Corbel" w:cstheme="minorBidi"/>
      <w:color w:val="000000" w:themeColor="text1"/>
      <w:sz w:val="22"/>
      <w:szCs w:val="22"/>
      <w:lang w:val="en-US" w:eastAsia="en-US"/>
    </w:rPr>
  </w:style>
  <w:style w:type="character" w:styleId="PlaceholderText">
    <w:name w:val="Placeholder Text"/>
    <w:basedOn w:val="DefaultParagraphFont"/>
    <w:uiPriority w:val="99"/>
    <w:semiHidden/>
    <w:rsid w:val="00D574F6"/>
    <w:rPr>
      <w:color w:val="808080"/>
    </w:rPr>
  </w:style>
  <w:style w:type="paragraph" w:styleId="ListParagraph">
    <w:name w:val="List Paragraph"/>
    <w:basedOn w:val="Normal"/>
    <w:link w:val="ListParagraphChar"/>
    <w:uiPriority w:val="34"/>
    <w:rsid w:val="00120BC8"/>
    <w:pPr>
      <w:ind w:left="720"/>
      <w:contextualSpacing/>
    </w:pPr>
  </w:style>
  <w:style w:type="character" w:customStyle="1" w:styleId="Style1">
    <w:name w:val="Style1"/>
    <w:basedOn w:val="DefaultParagraphFont"/>
    <w:uiPriority w:val="1"/>
    <w:rsid w:val="007138D2"/>
    <w:rPr>
      <w:rFonts w:ascii="Corbel" w:hAnsi="Corbel"/>
      <w:color w:val="000000" w:themeColor="text1"/>
      <w:sz w:val="48"/>
    </w:rPr>
  </w:style>
  <w:style w:type="character" w:customStyle="1" w:styleId="HeaderChar">
    <w:name w:val="Header Char"/>
    <w:basedOn w:val="DefaultParagraphFont"/>
    <w:link w:val="Header"/>
    <w:uiPriority w:val="99"/>
    <w:rsid w:val="00256C67"/>
    <w:rPr>
      <w:rFonts w:ascii="Calibri" w:hAnsi="Calibri"/>
      <w:color w:val="024182"/>
      <w:sz w:val="16"/>
      <w:szCs w:val="24"/>
    </w:rPr>
  </w:style>
  <w:style w:type="character" w:customStyle="1" w:styleId="Style2">
    <w:name w:val="Style2"/>
    <w:basedOn w:val="DefaultParagraphFont"/>
    <w:uiPriority w:val="1"/>
    <w:rsid w:val="00632BDA"/>
    <w:rPr>
      <w:rFonts w:ascii="Corbel" w:hAnsi="Corbel"/>
    </w:rPr>
  </w:style>
  <w:style w:type="character" w:customStyle="1" w:styleId="Style3">
    <w:name w:val="Style3"/>
    <w:basedOn w:val="DefaultParagraphFont"/>
    <w:uiPriority w:val="1"/>
    <w:rsid w:val="00632BDA"/>
    <w:rPr>
      <w:rFonts w:ascii="Corbel" w:hAnsi="Corbel"/>
    </w:rPr>
  </w:style>
  <w:style w:type="paragraph" w:customStyle="1" w:styleId="Osnovnifont">
    <w:name w:val="Osnovni font"/>
    <w:basedOn w:val="Normal"/>
    <w:link w:val="OsnovnifontChar"/>
    <w:qFormat/>
    <w:rsid w:val="00B72CC5"/>
    <w:pPr>
      <w:spacing w:before="0" w:after="0"/>
      <w:jc w:val="both"/>
    </w:pPr>
  </w:style>
  <w:style w:type="paragraph" w:customStyle="1" w:styleId="Naslovizvjetaja">
    <w:name w:val="Naslov izvještaja"/>
    <w:link w:val="NaslovizvjetajaChar"/>
    <w:qFormat/>
    <w:rsid w:val="00656CAB"/>
    <w:pPr>
      <w:spacing w:before="4000" w:after="0"/>
      <w:jc w:val="center"/>
    </w:pPr>
    <w:rPr>
      <w:rFonts w:ascii="Corbel" w:hAnsi="Corbel" w:cs="Arial"/>
      <w:b/>
      <w:bCs/>
      <w:caps/>
      <w:color w:val="000000" w:themeColor="text1"/>
      <w:kern w:val="32"/>
      <w:sz w:val="48"/>
      <w:szCs w:val="32"/>
    </w:rPr>
  </w:style>
  <w:style w:type="character" w:customStyle="1" w:styleId="Style4">
    <w:name w:val="Style4"/>
    <w:basedOn w:val="DefaultParagraphFont"/>
    <w:uiPriority w:val="1"/>
    <w:rsid w:val="00632BDA"/>
    <w:rPr>
      <w:rFonts w:ascii="Corbel" w:hAnsi="Corbel"/>
      <w:color w:val="auto"/>
      <w:sz w:val="36"/>
    </w:rPr>
  </w:style>
  <w:style w:type="character" w:customStyle="1" w:styleId="Style5">
    <w:name w:val="Style5"/>
    <w:basedOn w:val="DefaultParagraphFont"/>
    <w:uiPriority w:val="1"/>
    <w:rsid w:val="00497503"/>
    <w:rPr>
      <w:rFonts w:ascii="Corbel" w:hAnsi="Corbel"/>
      <w:sz w:val="36"/>
    </w:rPr>
  </w:style>
  <w:style w:type="character" w:customStyle="1" w:styleId="Style6">
    <w:name w:val="Style6"/>
    <w:basedOn w:val="DefaultParagraphFont"/>
    <w:uiPriority w:val="1"/>
    <w:rsid w:val="00497503"/>
    <w:rPr>
      <w:rFonts w:ascii="Corbel" w:hAnsi="Corbel"/>
      <w:color w:val="auto"/>
      <w:sz w:val="24"/>
    </w:rPr>
  </w:style>
  <w:style w:type="paragraph" w:styleId="TOCHeading">
    <w:name w:val="TOC Heading"/>
    <w:basedOn w:val="Heading1"/>
    <w:next w:val="Normal"/>
    <w:uiPriority w:val="39"/>
    <w:unhideWhenUsed/>
    <w:qFormat/>
    <w:rsid w:val="007138D2"/>
    <w:pPr>
      <w:keepLines/>
      <w:spacing w:after="0" w:line="259" w:lineRule="auto"/>
      <w:outlineLvl w:val="9"/>
    </w:pPr>
    <w:rPr>
      <w:rFonts w:eastAsiaTheme="majorEastAsia" w:cstheme="majorBidi"/>
      <w:b w:val="0"/>
      <w:bCs w:val="0"/>
      <w:caps w:val="0"/>
      <w:kern w:val="0"/>
      <w:sz w:val="32"/>
      <w:lang w:val="en-US" w:eastAsia="en-US"/>
    </w:rPr>
  </w:style>
  <w:style w:type="character" w:customStyle="1" w:styleId="Style7">
    <w:name w:val="Style7"/>
    <w:basedOn w:val="DefaultParagraphFont"/>
    <w:uiPriority w:val="1"/>
    <w:rsid w:val="009353A3"/>
    <w:rPr>
      <w:rFonts w:ascii="Corbel" w:hAnsi="Corbel"/>
      <w:sz w:val="40"/>
    </w:rPr>
  </w:style>
  <w:style w:type="character" w:customStyle="1" w:styleId="Style8">
    <w:name w:val="Style8"/>
    <w:basedOn w:val="DefaultParagraphFont"/>
    <w:uiPriority w:val="1"/>
    <w:rsid w:val="009353A3"/>
    <w:rPr>
      <w:rFonts w:ascii="Corbel" w:hAnsi="Corbel"/>
      <w:color w:val="auto"/>
      <w:sz w:val="36"/>
    </w:rPr>
  </w:style>
  <w:style w:type="character" w:customStyle="1" w:styleId="Style9">
    <w:name w:val="Style9"/>
    <w:basedOn w:val="DefaultParagraphFont"/>
    <w:uiPriority w:val="1"/>
    <w:rsid w:val="00391751"/>
    <w:rPr>
      <w:rFonts w:ascii="Corbel" w:hAnsi="Corbel"/>
      <w:i/>
      <w:sz w:val="24"/>
    </w:rPr>
  </w:style>
  <w:style w:type="paragraph" w:styleId="TOC1">
    <w:name w:val="toc 1"/>
    <w:basedOn w:val="Osnovnifont"/>
    <w:next w:val="Normal"/>
    <w:autoRedefine/>
    <w:uiPriority w:val="39"/>
    <w:unhideWhenUsed/>
    <w:rsid w:val="00C77E70"/>
    <w:pPr>
      <w:tabs>
        <w:tab w:val="right" w:pos="709"/>
        <w:tab w:val="right" w:leader="dot" w:pos="15015"/>
      </w:tabs>
      <w:spacing w:before="120" w:after="120"/>
      <w:ind w:left="568" w:hanging="284"/>
      <w:outlineLvl w:val="0"/>
    </w:pPr>
  </w:style>
  <w:style w:type="paragraph" w:styleId="TOC2">
    <w:name w:val="toc 2"/>
    <w:basedOn w:val="Osnovnifont"/>
    <w:next w:val="Podnaslovpoglavlja1"/>
    <w:autoRedefine/>
    <w:uiPriority w:val="39"/>
    <w:unhideWhenUsed/>
    <w:rsid w:val="00C77E70"/>
    <w:pPr>
      <w:tabs>
        <w:tab w:val="right" w:leader="dot" w:pos="567"/>
        <w:tab w:val="left" w:pos="1320"/>
        <w:tab w:val="right" w:leader="dot" w:pos="9638"/>
      </w:tabs>
      <w:spacing w:before="60" w:after="60"/>
      <w:ind w:left="1134" w:hanging="567"/>
      <w:outlineLvl w:val="1"/>
    </w:pPr>
  </w:style>
  <w:style w:type="character" w:customStyle="1" w:styleId="OsnovnifontChar">
    <w:name w:val="Osnovni font Char"/>
    <w:basedOn w:val="DefaultParagraphFont"/>
    <w:link w:val="Osnovnifont"/>
    <w:rsid w:val="00B72CC5"/>
    <w:rPr>
      <w:rFonts w:ascii="Corbel" w:hAnsi="Corbel"/>
      <w:color w:val="000000" w:themeColor="text1"/>
      <w:sz w:val="24"/>
      <w:szCs w:val="24"/>
    </w:rPr>
  </w:style>
  <w:style w:type="paragraph" w:styleId="TOC3">
    <w:name w:val="toc 3"/>
    <w:basedOn w:val="Osnovnifont"/>
    <w:next w:val="Podnaslovpoglavlja2"/>
    <w:autoRedefine/>
    <w:uiPriority w:val="39"/>
    <w:unhideWhenUsed/>
    <w:rsid w:val="006E76BA"/>
    <w:pPr>
      <w:tabs>
        <w:tab w:val="right" w:pos="1418"/>
        <w:tab w:val="left" w:pos="1843"/>
        <w:tab w:val="right" w:leader="dot" w:pos="9638"/>
      </w:tabs>
      <w:spacing w:before="40" w:after="40"/>
      <w:ind w:left="1985" w:hanging="851"/>
      <w:outlineLvl w:val="2"/>
    </w:pPr>
  </w:style>
  <w:style w:type="paragraph" w:customStyle="1" w:styleId="Tekstpodnaslova">
    <w:name w:val="Tekst podnaslova"/>
    <w:basedOn w:val="Osnovnifont"/>
    <w:link w:val="TekstpodnaslovaChar"/>
    <w:qFormat/>
    <w:rsid w:val="004D4D87"/>
    <w:pPr>
      <w:jc w:val="center"/>
    </w:pPr>
    <w:rPr>
      <w:b/>
      <w:sz w:val="40"/>
    </w:rPr>
  </w:style>
  <w:style w:type="numbering" w:customStyle="1" w:styleId="Style10">
    <w:name w:val="Style10"/>
    <w:uiPriority w:val="99"/>
    <w:rsid w:val="005819E5"/>
    <w:pPr>
      <w:numPr>
        <w:numId w:val="1"/>
      </w:numPr>
    </w:pPr>
  </w:style>
  <w:style w:type="paragraph" w:styleId="NormalWeb">
    <w:name w:val="Normal (Web)"/>
    <w:basedOn w:val="Normal"/>
    <w:uiPriority w:val="99"/>
    <w:semiHidden/>
    <w:unhideWhenUsed/>
    <w:rsid w:val="00EA4166"/>
    <w:pPr>
      <w:spacing w:before="100" w:beforeAutospacing="1" w:after="100" w:afterAutospacing="1"/>
    </w:pPr>
    <w:rPr>
      <w:rFonts w:ascii="Times New Roman" w:hAnsi="Times New Roman"/>
    </w:rPr>
  </w:style>
  <w:style w:type="character" w:styleId="CommentReference">
    <w:name w:val="annotation reference"/>
    <w:basedOn w:val="DefaultParagraphFont"/>
    <w:unhideWhenUsed/>
    <w:rsid w:val="0007598F"/>
    <w:rPr>
      <w:sz w:val="16"/>
      <w:szCs w:val="16"/>
    </w:rPr>
  </w:style>
  <w:style w:type="paragraph" w:styleId="CommentText">
    <w:name w:val="annotation text"/>
    <w:basedOn w:val="Normal"/>
    <w:link w:val="CommentTextChar"/>
    <w:unhideWhenUsed/>
    <w:rsid w:val="0007598F"/>
    <w:rPr>
      <w:rFonts w:ascii="Times New Roman" w:hAnsi="Times New Roman"/>
      <w:sz w:val="20"/>
      <w:szCs w:val="20"/>
    </w:rPr>
  </w:style>
  <w:style w:type="character" w:customStyle="1" w:styleId="CommentTextChar">
    <w:name w:val="Comment Text Char"/>
    <w:basedOn w:val="DefaultParagraphFont"/>
    <w:link w:val="CommentText"/>
    <w:rsid w:val="0007598F"/>
  </w:style>
  <w:style w:type="paragraph" w:styleId="FootnoteText">
    <w:name w:val="footnote text"/>
    <w:basedOn w:val="Normal"/>
    <w:link w:val="FootnoteTextChar"/>
    <w:rsid w:val="0007598F"/>
    <w:rPr>
      <w:rFonts w:ascii="Times New Roman" w:hAnsi="Times New Roman"/>
      <w:sz w:val="20"/>
      <w:szCs w:val="20"/>
    </w:rPr>
  </w:style>
  <w:style w:type="character" w:customStyle="1" w:styleId="FootnoteTextChar">
    <w:name w:val="Footnote Text Char"/>
    <w:basedOn w:val="DefaultParagraphFont"/>
    <w:link w:val="FootnoteText"/>
    <w:rsid w:val="0007598F"/>
  </w:style>
  <w:style w:type="character" w:styleId="Emphasis">
    <w:name w:val="Emphasis"/>
    <w:basedOn w:val="DefaultParagraphFont"/>
    <w:rsid w:val="007138D2"/>
    <w:rPr>
      <w:rFonts w:ascii="Corbel" w:hAnsi="Corbel"/>
      <w:i/>
      <w:iCs/>
      <w:color w:val="000000" w:themeColor="text1"/>
    </w:rPr>
  </w:style>
  <w:style w:type="character" w:customStyle="1" w:styleId="Heading1Char">
    <w:name w:val="Heading 1 Char"/>
    <w:basedOn w:val="DefaultParagraphFont"/>
    <w:link w:val="Heading1"/>
    <w:rsid w:val="00EF39BE"/>
    <w:rPr>
      <w:rFonts w:ascii="Corbel" w:hAnsi="Corbel" w:cs="Arial"/>
      <w:b/>
      <w:bCs/>
      <w:caps/>
      <w:color w:val="000000" w:themeColor="text1"/>
      <w:kern w:val="32"/>
      <w:sz w:val="36"/>
      <w:szCs w:val="32"/>
    </w:rPr>
  </w:style>
  <w:style w:type="character" w:customStyle="1" w:styleId="NaslovizvjetajaChar">
    <w:name w:val="Naslov izvještaja Char"/>
    <w:basedOn w:val="Heading1Char"/>
    <w:link w:val="Naslovizvjetaja"/>
    <w:rsid w:val="00656CAB"/>
    <w:rPr>
      <w:rFonts w:ascii="Corbel" w:hAnsi="Corbel" w:cs="Arial"/>
      <w:b/>
      <w:bCs/>
      <w:caps/>
      <w:color w:val="000000" w:themeColor="text1"/>
      <w:kern w:val="32"/>
      <w:sz w:val="48"/>
      <w:szCs w:val="32"/>
    </w:rPr>
  </w:style>
  <w:style w:type="paragraph" w:styleId="Caption">
    <w:name w:val="caption"/>
    <w:aliases w:val="Naziv vizualizacije"/>
    <w:basedOn w:val="Normal"/>
    <w:next w:val="Normal"/>
    <w:link w:val="CaptionChar"/>
    <w:unhideWhenUsed/>
    <w:qFormat/>
    <w:rsid w:val="00623ECB"/>
    <w:rPr>
      <w:iCs/>
      <w:color w:val="auto"/>
      <w:szCs w:val="18"/>
    </w:rPr>
  </w:style>
  <w:style w:type="character" w:customStyle="1" w:styleId="TekstpodnaslovaChar">
    <w:name w:val="Tekst podnaslova Char"/>
    <w:basedOn w:val="OsnovnifontChar"/>
    <w:link w:val="Tekstpodnaslova"/>
    <w:rsid w:val="004D4D87"/>
    <w:rPr>
      <w:rFonts w:ascii="Corbel" w:hAnsi="Corbel"/>
      <w:b/>
      <w:color w:val="000000" w:themeColor="text1"/>
      <w:sz w:val="40"/>
      <w:szCs w:val="24"/>
    </w:rPr>
  </w:style>
  <w:style w:type="character" w:styleId="SubtleEmphasis">
    <w:name w:val="Subtle Emphasis"/>
    <w:basedOn w:val="DefaultParagraphFont"/>
    <w:uiPriority w:val="19"/>
    <w:rsid w:val="007138D2"/>
    <w:rPr>
      <w:rFonts w:ascii="Corbel" w:hAnsi="Corbel"/>
      <w:i/>
      <w:iCs/>
      <w:color w:val="000000" w:themeColor="text1"/>
    </w:rPr>
  </w:style>
  <w:style w:type="character" w:styleId="IntenseEmphasis">
    <w:name w:val="Intense Emphasis"/>
    <w:basedOn w:val="DefaultParagraphFont"/>
    <w:uiPriority w:val="21"/>
    <w:rsid w:val="007138D2"/>
    <w:rPr>
      <w:rFonts w:ascii="Corbel" w:hAnsi="Corbel"/>
      <w:i/>
      <w:iCs/>
      <w:color w:val="000000" w:themeColor="text1"/>
    </w:rPr>
  </w:style>
  <w:style w:type="paragraph" w:styleId="Quote">
    <w:name w:val="Quote"/>
    <w:basedOn w:val="Normal"/>
    <w:next w:val="Normal"/>
    <w:link w:val="QuoteChar"/>
    <w:uiPriority w:val="29"/>
    <w:rsid w:val="007138D2"/>
    <w:pPr>
      <w:spacing w:before="200" w:after="160"/>
      <w:ind w:left="864" w:right="864"/>
      <w:jc w:val="center"/>
    </w:pPr>
    <w:rPr>
      <w:i/>
      <w:iCs/>
    </w:rPr>
  </w:style>
  <w:style w:type="character" w:customStyle="1" w:styleId="QuoteChar">
    <w:name w:val="Quote Char"/>
    <w:basedOn w:val="DefaultParagraphFont"/>
    <w:link w:val="Quote"/>
    <w:uiPriority w:val="29"/>
    <w:rsid w:val="007138D2"/>
    <w:rPr>
      <w:rFonts w:ascii="Corbel" w:hAnsi="Corbel"/>
      <w:i/>
      <w:iCs/>
      <w:color w:val="000000" w:themeColor="text1"/>
      <w:sz w:val="24"/>
      <w:szCs w:val="24"/>
    </w:rPr>
  </w:style>
  <w:style w:type="paragraph" w:styleId="IntenseQuote">
    <w:name w:val="Intense Quote"/>
    <w:basedOn w:val="Normal"/>
    <w:next w:val="Normal"/>
    <w:link w:val="IntenseQuoteChar"/>
    <w:uiPriority w:val="30"/>
    <w:rsid w:val="00E53AA2"/>
    <w:pPr>
      <w:framePr w:wrap="around" w:vAnchor="text" w:hAnchor="text" w:y="1"/>
      <w:pBdr>
        <w:top w:val="single" w:sz="4" w:space="10" w:color="000000" w:themeColor="text1"/>
        <w:bottom w:val="single" w:sz="4" w:space="10" w:color="000000" w:themeColor="tex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53AA2"/>
    <w:rPr>
      <w:rFonts w:ascii="Corbel" w:hAnsi="Corbel"/>
      <w:i/>
      <w:iCs/>
      <w:color w:val="000000" w:themeColor="text1"/>
      <w:sz w:val="24"/>
      <w:szCs w:val="24"/>
    </w:rPr>
  </w:style>
  <w:style w:type="character" w:styleId="SubtleReference">
    <w:name w:val="Subtle Reference"/>
    <w:basedOn w:val="DefaultParagraphFont"/>
    <w:uiPriority w:val="31"/>
    <w:rsid w:val="007138D2"/>
    <w:rPr>
      <w:rFonts w:ascii="Corbel" w:hAnsi="Corbel"/>
      <w:smallCaps/>
      <w:color w:val="000000" w:themeColor="text1"/>
    </w:rPr>
  </w:style>
  <w:style w:type="character" w:styleId="IntenseReference">
    <w:name w:val="Intense Reference"/>
    <w:basedOn w:val="DefaultParagraphFont"/>
    <w:uiPriority w:val="32"/>
    <w:rsid w:val="007138D2"/>
    <w:rPr>
      <w:rFonts w:ascii="Corbel" w:hAnsi="Corbel"/>
      <w:b/>
      <w:bCs/>
      <w:smallCaps/>
      <w:color w:val="000000" w:themeColor="text1"/>
      <w:spacing w:val="5"/>
    </w:rPr>
  </w:style>
  <w:style w:type="character" w:styleId="BookTitle">
    <w:name w:val="Book Title"/>
    <w:basedOn w:val="DefaultParagraphFont"/>
    <w:uiPriority w:val="33"/>
    <w:rsid w:val="007138D2"/>
    <w:rPr>
      <w:rFonts w:ascii="Corbel" w:hAnsi="Corbel"/>
      <w:b/>
      <w:bCs/>
      <w:i/>
      <w:iCs/>
      <w:spacing w:val="5"/>
    </w:rPr>
  </w:style>
  <w:style w:type="paragraph" w:styleId="CommentSubject">
    <w:name w:val="annotation subject"/>
    <w:basedOn w:val="CommentText"/>
    <w:next w:val="CommentText"/>
    <w:link w:val="CommentSubjectChar"/>
    <w:semiHidden/>
    <w:unhideWhenUsed/>
    <w:rsid w:val="00655B49"/>
    <w:pPr>
      <w:spacing w:before="120" w:after="60"/>
      <w:jc w:val="both"/>
    </w:pPr>
    <w:rPr>
      <w:rFonts w:ascii="Corbel" w:hAnsi="Corbel"/>
      <w:b/>
      <w:bCs/>
    </w:rPr>
  </w:style>
  <w:style w:type="character" w:customStyle="1" w:styleId="CommentSubjectChar">
    <w:name w:val="Comment Subject Char"/>
    <w:basedOn w:val="CommentTextChar"/>
    <w:link w:val="CommentSubject"/>
    <w:semiHidden/>
    <w:rsid w:val="00655B49"/>
    <w:rPr>
      <w:rFonts w:ascii="Corbel" w:hAnsi="Corbel"/>
      <w:b/>
      <w:bCs/>
      <w:color w:val="000000" w:themeColor="text1"/>
    </w:rPr>
  </w:style>
  <w:style w:type="numbering" w:customStyle="1" w:styleId="Style11">
    <w:name w:val="Style11"/>
    <w:uiPriority w:val="99"/>
    <w:rsid w:val="00904710"/>
    <w:pPr>
      <w:numPr>
        <w:numId w:val="2"/>
      </w:numPr>
    </w:pPr>
  </w:style>
  <w:style w:type="paragraph" w:customStyle="1" w:styleId="Tekstkratkogsaetka">
    <w:name w:val="Tekst kratkog sažetka"/>
    <w:basedOn w:val="ListParagraph"/>
    <w:link w:val="TekstkratkogsaetkaChar"/>
    <w:qFormat/>
    <w:rsid w:val="00434C9C"/>
    <w:pPr>
      <w:spacing w:before="0" w:after="0"/>
      <w:ind w:left="0"/>
      <w:jc w:val="both"/>
    </w:pPr>
    <w:rPr>
      <w:i/>
    </w:rPr>
  </w:style>
  <w:style w:type="character" w:customStyle="1" w:styleId="ListParagraphChar">
    <w:name w:val="List Paragraph Char"/>
    <w:basedOn w:val="DefaultParagraphFont"/>
    <w:link w:val="ListParagraph"/>
    <w:uiPriority w:val="34"/>
    <w:rsid w:val="00452BBE"/>
    <w:rPr>
      <w:rFonts w:ascii="Corbel" w:hAnsi="Corbel"/>
      <w:color w:val="000000" w:themeColor="text1"/>
      <w:sz w:val="24"/>
      <w:szCs w:val="24"/>
    </w:rPr>
  </w:style>
  <w:style w:type="character" w:customStyle="1" w:styleId="TekstkratkogsaetkaChar">
    <w:name w:val="Tekst kratkog sažetka Char"/>
    <w:basedOn w:val="ListParagraphChar"/>
    <w:link w:val="Tekstkratkogsaetka"/>
    <w:rsid w:val="00434C9C"/>
    <w:rPr>
      <w:rFonts w:ascii="Corbel" w:hAnsi="Corbel"/>
      <w:i/>
      <w:color w:val="000000" w:themeColor="text1"/>
      <w:sz w:val="24"/>
      <w:szCs w:val="24"/>
    </w:rPr>
  </w:style>
  <w:style w:type="paragraph" w:customStyle="1" w:styleId="Sadraj">
    <w:name w:val="Sadržaj"/>
    <w:basedOn w:val="Osnovnifont"/>
    <w:link w:val="SadrajChar"/>
    <w:qFormat/>
    <w:rsid w:val="00E965ED"/>
    <w:pPr>
      <w:spacing w:before="400" w:after="400"/>
      <w:jc w:val="left"/>
    </w:pPr>
    <w:rPr>
      <w:b/>
      <w:sz w:val="36"/>
    </w:rPr>
  </w:style>
  <w:style w:type="paragraph" w:customStyle="1" w:styleId="Podnaslovpoglavlja1">
    <w:name w:val="Podnaslov poglavlja 1"/>
    <w:basedOn w:val="Heading2"/>
    <w:next w:val="Nazivpoglavlja"/>
    <w:link w:val="Podnaslovpoglavlja1Char"/>
    <w:autoRedefine/>
    <w:qFormat/>
    <w:rsid w:val="00941B6E"/>
    <w:pPr>
      <w:numPr>
        <w:ilvl w:val="1"/>
        <w:numId w:val="31"/>
      </w:numPr>
      <w:jc w:val="both"/>
    </w:pPr>
  </w:style>
  <w:style w:type="character" w:customStyle="1" w:styleId="SadrajChar">
    <w:name w:val="Sadržaj Char"/>
    <w:basedOn w:val="OsnovnifontChar"/>
    <w:link w:val="Sadraj"/>
    <w:rsid w:val="00E965ED"/>
    <w:rPr>
      <w:rFonts w:ascii="Corbel" w:hAnsi="Corbel"/>
      <w:b/>
      <w:color w:val="000000" w:themeColor="text1"/>
      <w:sz w:val="36"/>
      <w:szCs w:val="24"/>
    </w:rPr>
  </w:style>
  <w:style w:type="character" w:customStyle="1" w:styleId="Podnaslovpoglavlja1Char">
    <w:name w:val="Podnaslov poglavlja 1 Char"/>
    <w:basedOn w:val="DefaultParagraphFont"/>
    <w:link w:val="Podnaslovpoglavlja1"/>
    <w:rsid w:val="00941B6E"/>
    <w:rPr>
      <w:rFonts w:ascii="Corbel" w:hAnsi="Corbel" w:cs="Arial"/>
      <w:b/>
      <w:bCs/>
      <w:iCs/>
      <w:color w:val="000000" w:themeColor="text1"/>
      <w:sz w:val="28"/>
      <w:szCs w:val="28"/>
    </w:rPr>
  </w:style>
  <w:style w:type="paragraph" w:customStyle="1" w:styleId="Podnaslovpoglavlja2">
    <w:name w:val="Podnaslov poglavlja 2"/>
    <w:basedOn w:val="Heading3"/>
    <w:next w:val="Podnaslovpoglavlja1"/>
    <w:link w:val="Podnaslovpoglavlja2Char"/>
    <w:autoRedefine/>
    <w:qFormat/>
    <w:rsid w:val="006E76BA"/>
    <w:pPr>
      <w:numPr>
        <w:ilvl w:val="2"/>
        <w:numId w:val="31"/>
      </w:numPr>
      <w:spacing w:before="400" w:after="240"/>
      <w:jc w:val="both"/>
    </w:pPr>
  </w:style>
  <w:style w:type="character" w:customStyle="1" w:styleId="Heading6Char">
    <w:name w:val="Heading 6 Char"/>
    <w:basedOn w:val="DefaultParagraphFont"/>
    <w:link w:val="Heading6"/>
    <w:rsid w:val="009C5BB2"/>
    <w:rPr>
      <w:rFonts w:asciiTheme="majorHAnsi" w:eastAsiaTheme="majorEastAsia" w:hAnsiTheme="majorHAnsi" w:cstheme="majorBidi"/>
      <w:color w:val="243F60" w:themeColor="accent1" w:themeShade="7F"/>
      <w:sz w:val="24"/>
      <w:szCs w:val="24"/>
    </w:rPr>
  </w:style>
  <w:style w:type="character" w:customStyle="1" w:styleId="Podnaslovpoglavlja2Char">
    <w:name w:val="Podnaslov poglavlja 2 Char"/>
    <w:basedOn w:val="DefaultParagraphFont"/>
    <w:link w:val="Podnaslovpoglavlja2"/>
    <w:rsid w:val="006E76BA"/>
    <w:rPr>
      <w:rFonts w:ascii="Corbel" w:hAnsi="Corbel" w:cs="Arial"/>
      <w:b/>
      <w:bCs/>
      <w:color w:val="000000" w:themeColor="text1"/>
      <w:sz w:val="24"/>
      <w:szCs w:val="26"/>
    </w:rPr>
  </w:style>
  <w:style w:type="paragraph" w:customStyle="1" w:styleId="Nazivpoglavlja">
    <w:name w:val="Naziv poglavlja"/>
    <w:basedOn w:val="Osnovnifont"/>
    <w:next w:val="Heading1"/>
    <w:link w:val="NazivpoglavljaChar"/>
    <w:autoRedefine/>
    <w:qFormat/>
    <w:rsid w:val="001767CB"/>
    <w:pPr>
      <w:numPr>
        <w:numId w:val="31"/>
      </w:numPr>
      <w:spacing w:before="400" w:after="240"/>
      <w:outlineLvl w:val="0"/>
    </w:pPr>
    <w:rPr>
      <w:b/>
      <w:sz w:val="36"/>
    </w:rPr>
  </w:style>
  <w:style w:type="character" w:customStyle="1" w:styleId="NazivpoglavljaChar">
    <w:name w:val="Naziv poglavlja Char"/>
    <w:basedOn w:val="NaslovizvjetajaChar"/>
    <w:link w:val="Nazivpoglavlja"/>
    <w:rsid w:val="001767CB"/>
    <w:rPr>
      <w:rFonts w:ascii="Corbel" w:hAnsi="Corbel" w:cs="Arial"/>
      <w:b/>
      <w:bCs w:val="0"/>
      <w:caps w:val="0"/>
      <w:color w:val="000000" w:themeColor="text1"/>
      <w:kern w:val="32"/>
      <w:sz w:val="36"/>
      <w:szCs w:val="24"/>
    </w:rPr>
  </w:style>
  <w:style w:type="character" w:customStyle="1" w:styleId="Heading4Char">
    <w:name w:val="Heading 4 Char"/>
    <w:basedOn w:val="DefaultParagraphFont"/>
    <w:link w:val="Heading4"/>
    <w:semiHidden/>
    <w:rsid w:val="001B2823"/>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1B2823"/>
    <w:rPr>
      <w:rFonts w:asciiTheme="majorHAnsi" w:eastAsiaTheme="majorEastAsia" w:hAnsiTheme="majorHAnsi" w:cstheme="majorBidi"/>
      <w:color w:val="365F91" w:themeColor="accent1" w:themeShade="BF"/>
      <w:sz w:val="24"/>
      <w:szCs w:val="24"/>
    </w:rPr>
  </w:style>
  <w:style w:type="character" w:customStyle="1" w:styleId="Heading7Char">
    <w:name w:val="Heading 7 Char"/>
    <w:basedOn w:val="DefaultParagraphFont"/>
    <w:link w:val="Heading7"/>
    <w:semiHidden/>
    <w:rsid w:val="001B282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B28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B2823"/>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3B2889"/>
    <w:pPr>
      <w:spacing w:after="0"/>
    </w:pPr>
  </w:style>
  <w:style w:type="character" w:customStyle="1" w:styleId="CaptionChar">
    <w:name w:val="Caption Char"/>
    <w:aliases w:val="Naziv vizualizacije Char"/>
    <w:basedOn w:val="DefaultParagraphFont"/>
    <w:link w:val="Caption"/>
    <w:rsid w:val="00623ECB"/>
    <w:rPr>
      <w:rFonts w:ascii="Corbel" w:hAnsi="Corbel"/>
      <w:iCs/>
      <w:sz w:val="24"/>
      <w:szCs w:val="18"/>
    </w:rPr>
  </w:style>
  <w:style w:type="character" w:styleId="Strong">
    <w:name w:val="Strong"/>
    <w:basedOn w:val="DefaultParagraphFont"/>
    <w:uiPriority w:val="22"/>
    <w:qFormat/>
    <w:rsid w:val="00D63DA8"/>
    <w:rPr>
      <w:b/>
      <w:bCs/>
    </w:rPr>
  </w:style>
  <w:style w:type="character" w:styleId="FollowedHyperlink">
    <w:name w:val="FollowedHyperlink"/>
    <w:basedOn w:val="DefaultParagraphFont"/>
    <w:semiHidden/>
    <w:unhideWhenUsed/>
    <w:rsid w:val="006C1051"/>
    <w:rPr>
      <w:color w:val="800080" w:themeColor="followedHyperlink"/>
      <w:u w:val="single"/>
    </w:rPr>
  </w:style>
  <w:style w:type="character" w:styleId="FootnoteReference">
    <w:name w:val="footnote reference"/>
    <w:basedOn w:val="DefaultParagraphFont"/>
    <w:uiPriority w:val="99"/>
    <w:unhideWhenUsed/>
    <w:rsid w:val="00F0729D"/>
    <w:rPr>
      <w:vertAlign w:val="superscript"/>
    </w:rPr>
  </w:style>
  <w:style w:type="paragraph" w:customStyle="1" w:styleId="FootnoteText1">
    <w:name w:val="Footnote Text1"/>
    <w:basedOn w:val="Normal"/>
    <w:next w:val="FootnoteText"/>
    <w:unhideWhenUsed/>
    <w:rsid w:val="00C601E4"/>
    <w:pPr>
      <w:spacing w:before="0" w:after="0"/>
    </w:pPr>
    <w:rPr>
      <w:rFonts w:ascii="Calibri" w:eastAsia="Calibri" w:hAnsi="Calibri"/>
      <w:color w:val="auto"/>
      <w:kern w:val="2"/>
      <w:lang w:val="en-US" w:eastAsia="en-US"/>
      <w14:ligatures w14:val="standardContextual"/>
    </w:rPr>
  </w:style>
  <w:style w:type="paragraph" w:styleId="Revision">
    <w:name w:val="Revision"/>
    <w:hidden/>
    <w:uiPriority w:val="99"/>
    <w:semiHidden/>
    <w:rsid w:val="00D0270E"/>
    <w:pPr>
      <w:spacing w:before="0" w:after="0"/>
      <w:jc w:val="left"/>
    </w:pPr>
    <w:rPr>
      <w:rFonts w:ascii="Corbel" w:hAnsi="Corbel"/>
      <w:color w:val="000000" w:themeColor="text1"/>
      <w:sz w:val="24"/>
      <w:szCs w:val="24"/>
    </w:rPr>
  </w:style>
  <w:style w:type="character" w:customStyle="1" w:styleId="UnresolvedMention1">
    <w:name w:val="Unresolved Mention1"/>
    <w:basedOn w:val="DefaultParagraphFont"/>
    <w:uiPriority w:val="99"/>
    <w:semiHidden/>
    <w:unhideWhenUsed/>
    <w:rsid w:val="00C92BB6"/>
    <w:rPr>
      <w:color w:val="605E5C"/>
      <w:shd w:val="clear" w:color="auto" w:fill="E1DFDD"/>
    </w:rPr>
  </w:style>
  <w:style w:type="character" w:customStyle="1" w:styleId="UnresolvedMention2">
    <w:name w:val="Unresolved Mention2"/>
    <w:basedOn w:val="DefaultParagraphFont"/>
    <w:uiPriority w:val="99"/>
    <w:semiHidden/>
    <w:unhideWhenUsed/>
    <w:rsid w:val="003A3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4137">
      <w:marLeft w:val="0"/>
      <w:marRight w:val="0"/>
      <w:marTop w:val="0"/>
      <w:marBottom w:val="0"/>
      <w:divBdr>
        <w:top w:val="none" w:sz="0" w:space="0" w:color="auto"/>
        <w:left w:val="none" w:sz="0" w:space="0" w:color="auto"/>
        <w:bottom w:val="none" w:sz="0" w:space="0" w:color="auto"/>
        <w:right w:val="none" w:sz="0" w:space="0" w:color="auto"/>
      </w:divBdr>
    </w:div>
    <w:div w:id="27144220">
      <w:bodyDiv w:val="1"/>
      <w:marLeft w:val="0"/>
      <w:marRight w:val="0"/>
      <w:marTop w:val="0"/>
      <w:marBottom w:val="0"/>
      <w:divBdr>
        <w:top w:val="none" w:sz="0" w:space="0" w:color="auto"/>
        <w:left w:val="none" w:sz="0" w:space="0" w:color="auto"/>
        <w:bottom w:val="none" w:sz="0" w:space="0" w:color="auto"/>
        <w:right w:val="none" w:sz="0" w:space="0" w:color="auto"/>
      </w:divBdr>
      <w:divsChild>
        <w:div w:id="861866095">
          <w:marLeft w:val="0"/>
          <w:marRight w:val="0"/>
          <w:marTop w:val="0"/>
          <w:marBottom w:val="0"/>
          <w:divBdr>
            <w:top w:val="none" w:sz="0" w:space="0" w:color="auto"/>
            <w:left w:val="none" w:sz="0" w:space="0" w:color="auto"/>
            <w:bottom w:val="none" w:sz="0" w:space="0" w:color="auto"/>
            <w:right w:val="none" w:sz="0" w:space="0" w:color="auto"/>
          </w:divBdr>
        </w:div>
      </w:divsChild>
    </w:div>
    <w:div w:id="38281892">
      <w:bodyDiv w:val="1"/>
      <w:marLeft w:val="0"/>
      <w:marRight w:val="0"/>
      <w:marTop w:val="0"/>
      <w:marBottom w:val="0"/>
      <w:divBdr>
        <w:top w:val="none" w:sz="0" w:space="0" w:color="auto"/>
        <w:left w:val="none" w:sz="0" w:space="0" w:color="auto"/>
        <w:bottom w:val="none" w:sz="0" w:space="0" w:color="auto"/>
        <w:right w:val="none" w:sz="0" w:space="0" w:color="auto"/>
      </w:divBdr>
    </w:div>
    <w:div w:id="58017393">
      <w:bodyDiv w:val="1"/>
      <w:marLeft w:val="0"/>
      <w:marRight w:val="0"/>
      <w:marTop w:val="0"/>
      <w:marBottom w:val="0"/>
      <w:divBdr>
        <w:top w:val="none" w:sz="0" w:space="0" w:color="auto"/>
        <w:left w:val="none" w:sz="0" w:space="0" w:color="auto"/>
        <w:bottom w:val="none" w:sz="0" w:space="0" w:color="auto"/>
        <w:right w:val="none" w:sz="0" w:space="0" w:color="auto"/>
      </w:divBdr>
    </w:div>
    <w:div w:id="65734964">
      <w:marLeft w:val="0"/>
      <w:marRight w:val="0"/>
      <w:marTop w:val="0"/>
      <w:marBottom w:val="0"/>
      <w:divBdr>
        <w:top w:val="none" w:sz="0" w:space="0" w:color="auto"/>
        <w:left w:val="none" w:sz="0" w:space="0" w:color="auto"/>
        <w:bottom w:val="none" w:sz="0" w:space="0" w:color="auto"/>
        <w:right w:val="none" w:sz="0" w:space="0" w:color="auto"/>
      </w:divBdr>
    </w:div>
    <w:div w:id="127817358">
      <w:bodyDiv w:val="1"/>
      <w:marLeft w:val="0"/>
      <w:marRight w:val="0"/>
      <w:marTop w:val="0"/>
      <w:marBottom w:val="0"/>
      <w:divBdr>
        <w:top w:val="none" w:sz="0" w:space="0" w:color="auto"/>
        <w:left w:val="none" w:sz="0" w:space="0" w:color="auto"/>
        <w:bottom w:val="none" w:sz="0" w:space="0" w:color="auto"/>
        <w:right w:val="none" w:sz="0" w:space="0" w:color="auto"/>
      </w:divBdr>
    </w:div>
    <w:div w:id="157770938">
      <w:marLeft w:val="0"/>
      <w:marRight w:val="0"/>
      <w:marTop w:val="0"/>
      <w:marBottom w:val="0"/>
      <w:divBdr>
        <w:top w:val="none" w:sz="0" w:space="0" w:color="auto"/>
        <w:left w:val="none" w:sz="0" w:space="0" w:color="auto"/>
        <w:bottom w:val="none" w:sz="0" w:space="0" w:color="auto"/>
        <w:right w:val="none" w:sz="0" w:space="0" w:color="auto"/>
      </w:divBdr>
    </w:div>
    <w:div w:id="180317241">
      <w:bodyDiv w:val="1"/>
      <w:marLeft w:val="0"/>
      <w:marRight w:val="0"/>
      <w:marTop w:val="0"/>
      <w:marBottom w:val="0"/>
      <w:divBdr>
        <w:top w:val="none" w:sz="0" w:space="0" w:color="auto"/>
        <w:left w:val="none" w:sz="0" w:space="0" w:color="auto"/>
        <w:bottom w:val="none" w:sz="0" w:space="0" w:color="auto"/>
        <w:right w:val="none" w:sz="0" w:space="0" w:color="auto"/>
      </w:divBdr>
    </w:div>
    <w:div w:id="191964550">
      <w:marLeft w:val="0"/>
      <w:marRight w:val="0"/>
      <w:marTop w:val="0"/>
      <w:marBottom w:val="0"/>
      <w:divBdr>
        <w:top w:val="none" w:sz="0" w:space="0" w:color="auto"/>
        <w:left w:val="none" w:sz="0" w:space="0" w:color="auto"/>
        <w:bottom w:val="none" w:sz="0" w:space="0" w:color="auto"/>
        <w:right w:val="none" w:sz="0" w:space="0" w:color="auto"/>
      </w:divBdr>
    </w:div>
    <w:div w:id="215774086">
      <w:bodyDiv w:val="1"/>
      <w:marLeft w:val="0"/>
      <w:marRight w:val="0"/>
      <w:marTop w:val="0"/>
      <w:marBottom w:val="0"/>
      <w:divBdr>
        <w:top w:val="none" w:sz="0" w:space="0" w:color="auto"/>
        <w:left w:val="none" w:sz="0" w:space="0" w:color="auto"/>
        <w:bottom w:val="none" w:sz="0" w:space="0" w:color="auto"/>
        <w:right w:val="none" w:sz="0" w:space="0" w:color="auto"/>
      </w:divBdr>
    </w:div>
    <w:div w:id="262689723">
      <w:marLeft w:val="0"/>
      <w:marRight w:val="0"/>
      <w:marTop w:val="0"/>
      <w:marBottom w:val="0"/>
      <w:divBdr>
        <w:top w:val="none" w:sz="0" w:space="0" w:color="auto"/>
        <w:left w:val="none" w:sz="0" w:space="0" w:color="auto"/>
        <w:bottom w:val="none" w:sz="0" w:space="0" w:color="auto"/>
        <w:right w:val="none" w:sz="0" w:space="0" w:color="auto"/>
      </w:divBdr>
    </w:div>
    <w:div w:id="285281417">
      <w:bodyDiv w:val="1"/>
      <w:marLeft w:val="0"/>
      <w:marRight w:val="0"/>
      <w:marTop w:val="0"/>
      <w:marBottom w:val="0"/>
      <w:divBdr>
        <w:top w:val="none" w:sz="0" w:space="0" w:color="auto"/>
        <w:left w:val="none" w:sz="0" w:space="0" w:color="auto"/>
        <w:bottom w:val="none" w:sz="0" w:space="0" w:color="auto"/>
        <w:right w:val="none" w:sz="0" w:space="0" w:color="auto"/>
      </w:divBdr>
    </w:div>
    <w:div w:id="291906020">
      <w:bodyDiv w:val="1"/>
      <w:marLeft w:val="0"/>
      <w:marRight w:val="0"/>
      <w:marTop w:val="0"/>
      <w:marBottom w:val="0"/>
      <w:divBdr>
        <w:top w:val="none" w:sz="0" w:space="0" w:color="auto"/>
        <w:left w:val="none" w:sz="0" w:space="0" w:color="auto"/>
        <w:bottom w:val="none" w:sz="0" w:space="0" w:color="auto"/>
        <w:right w:val="none" w:sz="0" w:space="0" w:color="auto"/>
      </w:divBdr>
      <w:divsChild>
        <w:div w:id="1742100126">
          <w:marLeft w:val="0"/>
          <w:marRight w:val="0"/>
          <w:marTop w:val="0"/>
          <w:marBottom w:val="0"/>
          <w:divBdr>
            <w:top w:val="none" w:sz="0" w:space="0" w:color="auto"/>
            <w:left w:val="none" w:sz="0" w:space="0" w:color="auto"/>
            <w:bottom w:val="none" w:sz="0" w:space="0" w:color="auto"/>
            <w:right w:val="none" w:sz="0" w:space="0" w:color="auto"/>
          </w:divBdr>
          <w:divsChild>
            <w:div w:id="956525401">
              <w:marLeft w:val="0"/>
              <w:marRight w:val="0"/>
              <w:marTop w:val="0"/>
              <w:marBottom w:val="0"/>
              <w:divBdr>
                <w:top w:val="none" w:sz="0" w:space="0" w:color="auto"/>
                <w:left w:val="none" w:sz="0" w:space="0" w:color="auto"/>
                <w:bottom w:val="none" w:sz="0" w:space="0" w:color="auto"/>
                <w:right w:val="none" w:sz="0" w:space="0" w:color="auto"/>
              </w:divBdr>
              <w:divsChild>
                <w:div w:id="1155879259">
                  <w:marLeft w:val="0"/>
                  <w:marRight w:val="0"/>
                  <w:marTop w:val="0"/>
                  <w:marBottom w:val="0"/>
                  <w:divBdr>
                    <w:top w:val="none" w:sz="0" w:space="0" w:color="auto"/>
                    <w:left w:val="none" w:sz="0" w:space="0" w:color="auto"/>
                    <w:bottom w:val="none" w:sz="0" w:space="0" w:color="auto"/>
                    <w:right w:val="none" w:sz="0" w:space="0" w:color="auto"/>
                  </w:divBdr>
                  <w:divsChild>
                    <w:div w:id="381515085">
                      <w:marLeft w:val="0"/>
                      <w:marRight w:val="0"/>
                      <w:marTop w:val="0"/>
                      <w:marBottom w:val="0"/>
                      <w:divBdr>
                        <w:top w:val="none" w:sz="0" w:space="0" w:color="auto"/>
                        <w:left w:val="none" w:sz="0" w:space="0" w:color="auto"/>
                        <w:bottom w:val="none" w:sz="0" w:space="0" w:color="auto"/>
                        <w:right w:val="none" w:sz="0" w:space="0" w:color="auto"/>
                      </w:divBdr>
                      <w:divsChild>
                        <w:div w:id="669257453">
                          <w:marLeft w:val="0"/>
                          <w:marRight w:val="0"/>
                          <w:marTop w:val="0"/>
                          <w:marBottom w:val="0"/>
                          <w:divBdr>
                            <w:top w:val="none" w:sz="0" w:space="0" w:color="auto"/>
                            <w:left w:val="none" w:sz="0" w:space="0" w:color="auto"/>
                            <w:bottom w:val="none" w:sz="0" w:space="0" w:color="auto"/>
                            <w:right w:val="none" w:sz="0" w:space="0" w:color="auto"/>
                          </w:divBdr>
                          <w:divsChild>
                            <w:div w:id="9975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407805">
      <w:marLeft w:val="0"/>
      <w:marRight w:val="0"/>
      <w:marTop w:val="0"/>
      <w:marBottom w:val="0"/>
      <w:divBdr>
        <w:top w:val="none" w:sz="0" w:space="0" w:color="auto"/>
        <w:left w:val="none" w:sz="0" w:space="0" w:color="auto"/>
        <w:bottom w:val="none" w:sz="0" w:space="0" w:color="auto"/>
        <w:right w:val="none" w:sz="0" w:space="0" w:color="auto"/>
      </w:divBdr>
    </w:div>
    <w:div w:id="345450514">
      <w:bodyDiv w:val="1"/>
      <w:marLeft w:val="0"/>
      <w:marRight w:val="0"/>
      <w:marTop w:val="0"/>
      <w:marBottom w:val="0"/>
      <w:divBdr>
        <w:top w:val="none" w:sz="0" w:space="0" w:color="auto"/>
        <w:left w:val="none" w:sz="0" w:space="0" w:color="auto"/>
        <w:bottom w:val="none" w:sz="0" w:space="0" w:color="auto"/>
        <w:right w:val="none" w:sz="0" w:space="0" w:color="auto"/>
      </w:divBdr>
    </w:div>
    <w:div w:id="383453901">
      <w:marLeft w:val="0"/>
      <w:marRight w:val="0"/>
      <w:marTop w:val="0"/>
      <w:marBottom w:val="0"/>
      <w:divBdr>
        <w:top w:val="none" w:sz="0" w:space="0" w:color="auto"/>
        <w:left w:val="none" w:sz="0" w:space="0" w:color="auto"/>
        <w:bottom w:val="none" w:sz="0" w:space="0" w:color="auto"/>
        <w:right w:val="none" w:sz="0" w:space="0" w:color="auto"/>
      </w:divBdr>
    </w:div>
    <w:div w:id="409430011">
      <w:bodyDiv w:val="1"/>
      <w:marLeft w:val="0"/>
      <w:marRight w:val="0"/>
      <w:marTop w:val="0"/>
      <w:marBottom w:val="0"/>
      <w:divBdr>
        <w:top w:val="none" w:sz="0" w:space="0" w:color="auto"/>
        <w:left w:val="none" w:sz="0" w:space="0" w:color="auto"/>
        <w:bottom w:val="none" w:sz="0" w:space="0" w:color="auto"/>
        <w:right w:val="none" w:sz="0" w:space="0" w:color="auto"/>
      </w:divBdr>
    </w:div>
    <w:div w:id="431440234">
      <w:marLeft w:val="0"/>
      <w:marRight w:val="0"/>
      <w:marTop w:val="0"/>
      <w:marBottom w:val="0"/>
      <w:divBdr>
        <w:top w:val="none" w:sz="0" w:space="0" w:color="auto"/>
        <w:left w:val="none" w:sz="0" w:space="0" w:color="auto"/>
        <w:bottom w:val="none" w:sz="0" w:space="0" w:color="auto"/>
        <w:right w:val="none" w:sz="0" w:space="0" w:color="auto"/>
      </w:divBdr>
    </w:div>
    <w:div w:id="467284336">
      <w:bodyDiv w:val="1"/>
      <w:marLeft w:val="0"/>
      <w:marRight w:val="0"/>
      <w:marTop w:val="0"/>
      <w:marBottom w:val="0"/>
      <w:divBdr>
        <w:top w:val="none" w:sz="0" w:space="0" w:color="auto"/>
        <w:left w:val="none" w:sz="0" w:space="0" w:color="auto"/>
        <w:bottom w:val="none" w:sz="0" w:space="0" w:color="auto"/>
        <w:right w:val="none" w:sz="0" w:space="0" w:color="auto"/>
      </w:divBdr>
    </w:div>
    <w:div w:id="487482835">
      <w:bodyDiv w:val="1"/>
      <w:marLeft w:val="0"/>
      <w:marRight w:val="0"/>
      <w:marTop w:val="0"/>
      <w:marBottom w:val="0"/>
      <w:divBdr>
        <w:top w:val="none" w:sz="0" w:space="0" w:color="auto"/>
        <w:left w:val="none" w:sz="0" w:space="0" w:color="auto"/>
        <w:bottom w:val="none" w:sz="0" w:space="0" w:color="auto"/>
        <w:right w:val="none" w:sz="0" w:space="0" w:color="auto"/>
      </w:divBdr>
      <w:divsChild>
        <w:div w:id="1099913920">
          <w:marLeft w:val="0"/>
          <w:marRight w:val="0"/>
          <w:marTop w:val="0"/>
          <w:marBottom w:val="0"/>
          <w:divBdr>
            <w:top w:val="none" w:sz="0" w:space="0" w:color="auto"/>
            <w:left w:val="none" w:sz="0" w:space="0" w:color="auto"/>
            <w:bottom w:val="none" w:sz="0" w:space="0" w:color="auto"/>
            <w:right w:val="none" w:sz="0" w:space="0" w:color="auto"/>
          </w:divBdr>
        </w:div>
      </w:divsChild>
    </w:div>
    <w:div w:id="500706980">
      <w:marLeft w:val="0"/>
      <w:marRight w:val="0"/>
      <w:marTop w:val="0"/>
      <w:marBottom w:val="0"/>
      <w:divBdr>
        <w:top w:val="none" w:sz="0" w:space="0" w:color="auto"/>
        <w:left w:val="none" w:sz="0" w:space="0" w:color="auto"/>
        <w:bottom w:val="none" w:sz="0" w:space="0" w:color="auto"/>
        <w:right w:val="none" w:sz="0" w:space="0" w:color="auto"/>
      </w:divBdr>
    </w:div>
    <w:div w:id="523590594">
      <w:bodyDiv w:val="1"/>
      <w:marLeft w:val="0"/>
      <w:marRight w:val="0"/>
      <w:marTop w:val="0"/>
      <w:marBottom w:val="0"/>
      <w:divBdr>
        <w:top w:val="none" w:sz="0" w:space="0" w:color="auto"/>
        <w:left w:val="none" w:sz="0" w:space="0" w:color="auto"/>
        <w:bottom w:val="none" w:sz="0" w:space="0" w:color="auto"/>
        <w:right w:val="none" w:sz="0" w:space="0" w:color="auto"/>
      </w:divBdr>
    </w:div>
    <w:div w:id="547960040">
      <w:marLeft w:val="0"/>
      <w:marRight w:val="0"/>
      <w:marTop w:val="0"/>
      <w:marBottom w:val="0"/>
      <w:divBdr>
        <w:top w:val="none" w:sz="0" w:space="0" w:color="auto"/>
        <w:left w:val="none" w:sz="0" w:space="0" w:color="auto"/>
        <w:bottom w:val="none" w:sz="0" w:space="0" w:color="auto"/>
        <w:right w:val="none" w:sz="0" w:space="0" w:color="auto"/>
      </w:divBdr>
    </w:div>
    <w:div w:id="568610453">
      <w:bodyDiv w:val="1"/>
      <w:marLeft w:val="0"/>
      <w:marRight w:val="0"/>
      <w:marTop w:val="0"/>
      <w:marBottom w:val="0"/>
      <w:divBdr>
        <w:top w:val="none" w:sz="0" w:space="0" w:color="auto"/>
        <w:left w:val="none" w:sz="0" w:space="0" w:color="auto"/>
        <w:bottom w:val="none" w:sz="0" w:space="0" w:color="auto"/>
        <w:right w:val="none" w:sz="0" w:space="0" w:color="auto"/>
      </w:divBdr>
    </w:div>
    <w:div w:id="571235429">
      <w:bodyDiv w:val="1"/>
      <w:marLeft w:val="0"/>
      <w:marRight w:val="0"/>
      <w:marTop w:val="0"/>
      <w:marBottom w:val="0"/>
      <w:divBdr>
        <w:top w:val="none" w:sz="0" w:space="0" w:color="auto"/>
        <w:left w:val="none" w:sz="0" w:space="0" w:color="auto"/>
        <w:bottom w:val="none" w:sz="0" w:space="0" w:color="auto"/>
        <w:right w:val="none" w:sz="0" w:space="0" w:color="auto"/>
      </w:divBdr>
    </w:div>
    <w:div w:id="590159984">
      <w:bodyDiv w:val="1"/>
      <w:marLeft w:val="0"/>
      <w:marRight w:val="0"/>
      <w:marTop w:val="0"/>
      <w:marBottom w:val="0"/>
      <w:divBdr>
        <w:top w:val="none" w:sz="0" w:space="0" w:color="auto"/>
        <w:left w:val="none" w:sz="0" w:space="0" w:color="auto"/>
        <w:bottom w:val="none" w:sz="0" w:space="0" w:color="auto"/>
        <w:right w:val="none" w:sz="0" w:space="0" w:color="auto"/>
      </w:divBdr>
    </w:div>
    <w:div w:id="624194573">
      <w:bodyDiv w:val="1"/>
      <w:marLeft w:val="0"/>
      <w:marRight w:val="0"/>
      <w:marTop w:val="0"/>
      <w:marBottom w:val="0"/>
      <w:divBdr>
        <w:top w:val="none" w:sz="0" w:space="0" w:color="auto"/>
        <w:left w:val="none" w:sz="0" w:space="0" w:color="auto"/>
        <w:bottom w:val="none" w:sz="0" w:space="0" w:color="auto"/>
        <w:right w:val="none" w:sz="0" w:space="0" w:color="auto"/>
      </w:divBdr>
    </w:div>
    <w:div w:id="665019698">
      <w:marLeft w:val="0"/>
      <w:marRight w:val="0"/>
      <w:marTop w:val="0"/>
      <w:marBottom w:val="0"/>
      <w:divBdr>
        <w:top w:val="none" w:sz="0" w:space="0" w:color="auto"/>
        <w:left w:val="none" w:sz="0" w:space="0" w:color="auto"/>
        <w:bottom w:val="none" w:sz="0" w:space="0" w:color="auto"/>
        <w:right w:val="none" w:sz="0" w:space="0" w:color="auto"/>
      </w:divBdr>
    </w:div>
    <w:div w:id="708188307">
      <w:bodyDiv w:val="1"/>
      <w:marLeft w:val="0"/>
      <w:marRight w:val="0"/>
      <w:marTop w:val="0"/>
      <w:marBottom w:val="0"/>
      <w:divBdr>
        <w:top w:val="none" w:sz="0" w:space="0" w:color="auto"/>
        <w:left w:val="none" w:sz="0" w:space="0" w:color="auto"/>
        <w:bottom w:val="none" w:sz="0" w:space="0" w:color="auto"/>
        <w:right w:val="none" w:sz="0" w:space="0" w:color="auto"/>
      </w:divBdr>
      <w:divsChild>
        <w:div w:id="1921256780">
          <w:marLeft w:val="0"/>
          <w:marRight w:val="0"/>
          <w:marTop w:val="0"/>
          <w:marBottom w:val="0"/>
          <w:divBdr>
            <w:top w:val="none" w:sz="0" w:space="0" w:color="auto"/>
            <w:left w:val="none" w:sz="0" w:space="0" w:color="auto"/>
            <w:bottom w:val="none" w:sz="0" w:space="0" w:color="auto"/>
            <w:right w:val="none" w:sz="0" w:space="0" w:color="auto"/>
          </w:divBdr>
        </w:div>
      </w:divsChild>
    </w:div>
    <w:div w:id="723215165">
      <w:bodyDiv w:val="1"/>
      <w:marLeft w:val="0"/>
      <w:marRight w:val="0"/>
      <w:marTop w:val="0"/>
      <w:marBottom w:val="0"/>
      <w:divBdr>
        <w:top w:val="none" w:sz="0" w:space="0" w:color="auto"/>
        <w:left w:val="none" w:sz="0" w:space="0" w:color="auto"/>
        <w:bottom w:val="none" w:sz="0" w:space="0" w:color="auto"/>
        <w:right w:val="none" w:sz="0" w:space="0" w:color="auto"/>
      </w:divBdr>
    </w:div>
    <w:div w:id="730813790">
      <w:marLeft w:val="0"/>
      <w:marRight w:val="0"/>
      <w:marTop w:val="0"/>
      <w:marBottom w:val="0"/>
      <w:divBdr>
        <w:top w:val="none" w:sz="0" w:space="0" w:color="auto"/>
        <w:left w:val="none" w:sz="0" w:space="0" w:color="auto"/>
        <w:bottom w:val="none" w:sz="0" w:space="0" w:color="auto"/>
        <w:right w:val="none" w:sz="0" w:space="0" w:color="auto"/>
      </w:divBdr>
    </w:div>
    <w:div w:id="752050492">
      <w:marLeft w:val="0"/>
      <w:marRight w:val="0"/>
      <w:marTop w:val="0"/>
      <w:marBottom w:val="0"/>
      <w:divBdr>
        <w:top w:val="none" w:sz="0" w:space="0" w:color="auto"/>
        <w:left w:val="none" w:sz="0" w:space="0" w:color="auto"/>
        <w:bottom w:val="none" w:sz="0" w:space="0" w:color="auto"/>
        <w:right w:val="none" w:sz="0" w:space="0" w:color="auto"/>
      </w:divBdr>
    </w:div>
    <w:div w:id="828787863">
      <w:bodyDiv w:val="1"/>
      <w:marLeft w:val="0"/>
      <w:marRight w:val="0"/>
      <w:marTop w:val="0"/>
      <w:marBottom w:val="0"/>
      <w:divBdr>
        <w:top w:val="none" w:sz="0" w:space="0" w:color="auto"/>
        <w:left w:val="none" w:sz="0" w:space="0" w:color="auto"/>
        <w:bottom w:val="none" w:sz="0" w:space="0" w:color="auto"/>
        <w:right w:val="none" w:sz="0" w:space="0" w:color="auto"/>
      </w:divBdr>
    </w:div>
    <w:div w:id="859046735">
      <w:bodyDiv w:val="1"/>
      <w:marLeft w:val="0"/>
      <w:marRight w:val="0"/>
      <w:marTop w:val="0"/>
      <w:marBottom w:val="0"/>
      <w:divBdr>
        <w:top w:val="none" w:sz="0" w:space="0" w:color="auto"/>
        <w:left w:val="none" w:sz="0" w:space="0" w:color="auto"/>
        <w:bottom w:val="none" w:sz="0" w:space="0" w:color="auto"/>
        <w:right w:val="none" w:sz="0" w:space="0" w:color="auto"/>
      </w:divBdr>
      <w:divsChild>
        <w:div w:id="2059742216">
          <w:marLeft w:val="0"/>
          <w:marRight w:val="0"/>
          <w:marTop w:val="0"/>
          <w:marBottom w:val="0"/>
          <w:divBdr>
            <w:top w:val="none" w:sz="0" w:space="0" w:color="auto"/>
            <w:left w:val="none" w:sz="0" w:space="0" w:color="auto"/>
            <w:bottom w:val="none" w:sz="0" w:space="0" w:color="auto"/>
            <w:right w:val="none" w:sz="0" w:space="0" w:color="auto"/>
          </w:divBdr>
        </w:div>
      </w:divsChild>
    </w:div>
    <w:div w:id="886912227">
      <w:marLeft w:val="0"/>
      <w:marRight w:val="0"/>
      <w:marTop w:val="0"/>
      <w:marBottom w:val="0"/>
      <w:divBdr>
        <w:top w:val="none" w:sz="0" w:space="0" w:color="auto"/>
        <w:left w:val="none" w:sz="0" w:space="0" w:color="auto"/>
        <w:bottom w:val="none" w:sz="0" w:space="0" w:color="auto"/>
        <w:right w:val="none" w:sz="0" w:space="0" w:color="auto"/>
      </w:divBdr>
    </w:div>
    <w:div w:id="940528932">
      <w:marLeft w:val="0"/>
      <w:marRight w:val="0"/>
      <w:marTop w:val="0"/>
      <w:marBottom w:val="0"/>
      <w:divBdr>
        <w:top w:val="none" w:sz="0" w:space="0" w:color="auto"/>
        <w:left w:val="none" w:sz="0" w:space="0" w:color="auto"/>
        <w:bottom w:val="none" w:sz="0" w:space="0" w:color="auto"/>
        <w:right w:val="none" w:sz="0" w:space="0" w:color="auto"/>
      </w:divBdr>
    </w:div>
    <w:div w:id="965694857">
      <w:bodyDiv w:val="1"/>
      <w:marLeft w:val="0"/>
      <w:marRight w:val="0"/>
      <w:marTop w:val="0"/>
      <w:marBottom w:val="0"/>
      <w:divBdr>
        <w:top w:val="none" w:sz="0" w:space="0" w:color="auto"/>
        <w:left w:val="none" w:sz="0" w:space="0" w:color="auto"/>
        <w:bottom w:val="none" w:sz="0" w:space="0" w:color="auto"/>
        <w:right w:val="none" w:sz="0" w:space="0" w:color="auto"/>
      </w:divBdr>
    </w:div>
    <w:div w:id="995839669">
      <w:bodyDiv w:val="1"/>
      <w:marLeft w:val="0"/>
      <w:marRight w:val="0"/>
      <w:marTop w:val="0"/>
      <w:marBottom w:val="0"/>
      <w:divBdr>
        <w:top w:val="none" w:sz="0" w:space="0" w:color="auto"/>
        <w:left w:val="none" w:sz="0" w:space="0" w:color="auto"/>
        <w:bottom w:val="none" w:sz="0" w:space="0" w:color="auto"/>
        <w:right w:val="none" w:sz="0" w:space="0" w:color="auto"/>
      </w:divBdr>
    </w:div>
    <w:div w:id="1018585229">
      <w:marLeft w:val="0"/>
      <w:marRight w:val="0"/>
      <w:marTop w:val="0"/>
      <w:marBottom w:val="0"/>
      <w:divBdr>
        <w:top w:val="none" w:sz="0" w:space="0" w:color="auto"/>
        <w:left w:val="none" w:sz="0" w:space="0" w:color="auto"/>
        <w:bottom w:val="none" w:sz="0" w:space="0" w:color="auto"/>
        <w:right w:val="none" w:sz="0" w:space="0" w:color="auto"/>
      </w:divBdr>
    </w:div>
    <w:div w:id="1040323416">
      <w:bodyDiv w:val="1"/>
      <w:marLeft w:val="0"/>
      <w:marRight w:val="0"/>
      <w:marTop w:val="0"/>
      <w:marBottom w:val="0"/>
      <w:divBdr>
        <w:top w:val="none" w:sz="0" w:space="0" w:color="auto"/>
        <w:left w:val="none" w:sz="0" w:space="0" w:color="auto"/>
        <w:bottom w:val="none" w:sz="0" w:space="0" w:color="auto"/>
        <w:right w:val="none" w:sz="0" w:space="0" w:color="auto"/>
      </w:divBdr>
      <w:divsChild>
        <w:div w:id="753161207">
          <w:marLeft w:val="0"/>
          <w:marRight w:val="0"/>
          <w:marTop w:val="0"/>
          <w:marBottom w:val="0"/>
          <w:divBdr>
            <w:top w:val="none" w:sz="0" w:space="0" w:color="auto"/>
            <w:left w:val="none" w:sz="0" w:space="0" w:color="auto"/>
            <w:bottom w:val="none" w:sz="0" w:space="0" w:color="auto"/>
            <w:right w:val="none" w:sz="0" w:space="0" w:color="auto"/>
          </w:divBdr>
        </w:div>
      </w:divsChild>
    </w:div>
    <w:div w:id="1069037870">
      <w:bodyDiv w:val="1"/>
      <w:marLeft w:val="0"/>
      <w:marRight w:val="0"/>
      <w:marTop w:val="0"/>
      <w:marBottom w:val="0"/>
      <w:divBdr>
        <w:top w:val="none" w:sz="0" w:space="0" w:color="auto"/>
        <w:left w:val="none" w:sz="0" w:space="0" w:color="auto"/>
        <w:bottom w:val="none" w:sz="0" w:space="0" w:color="auto"/>
        <w:right w:val="none" w:sz="0" w:space="0" w:color="auto"/>
      </w:divBdr>
    </w:div>
    <w:div w:id="1094085294">
      <w:marLeft w:val="0"/>
      <w:marRight w:val="0"/>
      <w:marTop w:val="0"/>
      <w:marBottom w:val="0"/>
      <w:divBdr>
        <w:top w:val="none" w:sz="0" w:space="0" w:color="auto"/>
        <w:left w:val="none" w:sz="0" w:space="0" w:color="auto"/>
        <w:bottom w:val="none" w:sz="0" w:space="0" w:color="auto"/>
        <w:right w:val="none" w:sz="0" w:space="0" w:color="auto"/>
      </w:divBdr>
    </w:div>
    <w:div w:id="1097604286">
      <w:bodyDiv w:val="1"/>
      <w:marLeft w:val="0"/>
      <w:marRight w:val="0"/>
      <w:marTop w:val="0"/>
      <w:marBottom w:val="0"/>
      <w:divBdr>
        <w:top w:val="none" w:sz="0" w:space="0" w:color="auto"/>
        <w:left w:val="none" w:sz="0" w:space="0" w:color="auto"/>
        <w:bottom w:val="none" w:sz="0" w:space="0" w:color="auto"/>
        <w:right w:val="none" w:sz="0" w:space="0" w:color="auto"/>
      </w:divBdr>
    </w:div>
    <w:div w:id="1120761867">
      <w:marLeft w:val="0"/>
      <w:marRight w:val="0"/>
      <w:marTop w:val="0"/>
      <w:marBottom w:val="0"/>
      <w:divBdr>
        <w:top w:val="none" w:sz="0" w:space="0" w:color="auto"/>
        <w:left w:val="none" w:sz="0" w:space="0" w:color="auto"/>
        <w:bottom w:val="none" w:sz="0" w:space="0" w:color="auto"/>
        <w:right w:val="none" w:sz="0" w:space="0" w:color="auto"/>
      </w:divBdr>
    </w:div>
    <w:div w:id="1129319957">
      <w:bodyDiv w:val="1"/>
      <w:marLeft w:val="0"/>
      <w:marRight w:val="0"/>
      <w:marTop w:val="0"/>
      <w:marBottom w:val="0"/>
      <w:divBdr>
        <w:top w:val="none" w:sz="0" w:space="0" w:color="auto"/>
        <w:left w:val="none" w:sz="0" w:space="0" w:color="auto"/>
        <w:bottom w:val="none" w:sz="0" w:space="0" w:color="auto"/>
        <w:right w:val="none" w:sz="0" w:space="0" w:color="auto"/>
      </w:divBdr>
      <w:divsChild>
        <w:div w:id="1152524776">
          <w:marLeft w:val="0"/>
          <w:marRight w:val="0"/>
          <w:marTop w:val="0"/>
          <w:marBottom w:val="0"/>
          <w:divBdr>
            <w:top w:val="none" w:sz="0" w:space="0" w:color="auto"/>
            <w:left w:val="none" w:sz="0" w:space="0" w:color="auto"/>
            <w:bottom w:val="none" w:sz="0" w:space="0" w:color="auto"/>
            <w:right w:val="none" w:sz="0" w:space="0" w:color="auto"/>
          </w:divBdr>
        </w:div>
      </w:divsChild>
    </w:div>
    <w:div w:id="1196386408">
      <w:bodyDiv w:val="1"/>
      <w:marLeft w:val="0"/>
      <w:marRight w:val="0"/>
      <w:marTop w:val="0"/>
      <w:marBottom w:val="0"/>
      <w:divBdr>
        <w:top w:val="none" w:sz="0" w:space="0" w:color="auto"/>
        <w:left w:val="none" w:sz="0" w:space="0" w:color="auto"/>
        <w:bottom w:val="none" w:sz="0" w:space="0" w:color="auto"/>
        <w:right w:val="none" w:sz="0" w:space="0" w:color="auto"/>
      </w:divBdr>
      <w:divsChild>
        <w:div w:id="1798835106">
          <w:marLeft w:val="0"/>
          <w:marRight w:val="0"/>
          <w:marTop w:val="0"/>
          <w:marBottom w:val="0"/>
          <w:divBdr>
            <w:top w:val="none" w:sz="0" w:space="0" w:color="auto"/>
            <w:left w:val="none" w:sz="0" w:space="0" w:color="auto"/>
            <w:bottom w:val="none" w:sz="0" w:space="0" w:color="auto"/>
            <w:right w:val="none" w:sz="0" w:space="0" w:color="auto"/>
          </w:divBdr>
          <w:divsChild>
            <w:div w:id="1733579034">
              <w:marLeft w:val="0"/>
              <w:marRight w:val="0"/>
              <w:marTop w:val="0"/>
              <w:marBottom w:val="0"/>
              <w:divBdr>
                <w:top w:val="none" w:sz="0" w:space="0" w:color="auto"/>
                <w:left w:val="none" w:sz="0" w:space="0" w:color="auto"/>
                <w:bottom w:val="none" w:sz="0" w:space="0" w:color="auto"/>
                <w:right w:val="none" w:sz="0" w:space="0" w:color="auto"/>
              </w:divBdr>
              <w:divsChild>
                <w:div w:id="1080172569">
                  <w:marLeft w:val="0"/>
                  <w:marRight w:val="0"/>
                  <w:marTop w:val="0"/>
                  <w:marBottom w:val="0"/>
                  <w:divBdr>
                    <w:top w:val="none" w:sz="0" w:space="0" w:color="auto"/>
                    <w:left w:val="none" w:sz="0" w:space="0" w:color="auto"/>
                    <w:bottom w:val="none" w:sz="0" w:space="0" w:color="auto"/>
                    <w:right w:val="none" w:sz="0" w:space="0" w:color="auto"/>
                  </w:divBdr>
                  <w:divsChild>
                    <w:div w:id="731855587">
                      <w:marLeft w:val="0"/>
                      <w:marRight w:val="0"/>
                      <w:marTop w:val="0"/>
                      <w:marBottom w:val="0"/>
                      <w:divBdr>
                        <w:top w:val="none" w:sz="0" w:space="0" w:color="auto"/>
                        <w:left w:val="none" w:sz="0" w:space="0" w:color="auto"/>
                        <w:bottom w:val="none" w:sz="0" w:space="0" w:color="auto"/>
                        <w:right w:val="none" w:sz="0" w:space="0" w:color="auto"/>
                      </w:divBdr>
                      <w:divsChild>
                        <w:div w:id="980039034">
                          <w:marLeft w:val="0"/>
                          <w:marRight w:val="0"/>
                          <w:marTop w:val="0"/>
                          <w:marBottom w:val="0"/>
                          <w:divBdr>
                            <w:top w:val="none" w:sz="0" w:space="0" w:color="auto"/>
                            <w:left w:val="none" w:sz="0" w:space="0" w:color="auto"/>
                            <w:bottom w:val="none" w:sz="0" w:space="0" w:color="auto"/>
                            <w:right w:val="none" w:sz="0" w:space="0" w:color="auto"/>
                          </w:divBdr>
                          <w:divsChild>
                            <w:div w:id="18817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135655">
      <w:bodyDiv w:val="1"/>
      <w:marLeft w:val="0"/>
      <w:marRight w:val="0"/>
      <w:marTop w:val="0"/>
      <w:marBottom w:val="0"/>
      <w:divBdr>
        <w:top w:val="none" w:sz="0" w:space="0" w:color="auto"/>
        <w:left w:val="none" w:sz="0" w:space="0" w:color="auto"/>
        <w:bottom w:val="none" w:sz="0" w:space="0" w:color="auto"/>
        <w:right w:val="none" w:sz="0" w:space="0" w:color="auto"/>
      </w:divBdr>
    </w:div>
    <w:div w:id="1353415164">
      <w:bodyDiv w:val="1"/>
      <w:marLeft w:val="0"/>
      <w:marRight w:val="0"/>
      <w:marTop w:val="0"/>
      <w:marBottom w:val="0"/>
      <w:divBdr>
        <w:top w:val="none" w:sz="0" w:space="0" w:color="auto"/>
        <w:left w:val="none" w:sz="0" w:space="0" w:color="auto"/>
        <w:bottom w:val="none" w:sz="0" w:space="0" w:color="auto"/>
        <w:right w:val="none" w:sz="0" w:space="0" w:color="auto"/>
      </w:divBdr>
    </w:div>
    <w:div w:id="1407074363">
      <w:marLeft w:val="0"/>
      <w:marRight w:val="0"/>
      <w:marTop w:val="0"/>
      <w:marBottom w:val="0"/>
      <w:divBdr>
        <w:top w:val="none" w:sz="0" w:space="0" w:color="auto"/>
        <w:left w:val="none" w:sz="0" w:space="0" w:color="auto"/>
        <w:bottom w:val="none" w:sz="0" w:space="0" w:color="auto"/>
        <w:right w:val="none" w:sz="0" w:space="0" w:color="auto"/>
      </w:divBdr>
    </w:div>
    <w:div w:id="1426220739">
      <w:marLeft w:val="0"/>
      <w:marRight w:val="0"/>
      <w:marTop w:val="0"/>
      <w:marBottom w:val="0"/>
      <w:divBdr>
        <w:top w:val="none" w:sz="0" w:space="0" w:color="auto"/>
        <w:left w:val="none" w:sz="0" w:space="0" w:color="auto"/>
        <w:bottom w:val="none" w:sz="0" w:space="0" w:color="auto"/>
        <w:right w:val="none" w:sz="0" w:space="0" w:color="auto"/>
      </w:divBdr>
    </w:div>
    <w:div w:id="1441218478">
      <w:marLeft w:val="0"/>
      <w:marRight w:val="0"/>
      <w:marTop w:val="0"/>
      <w:marBottom w:val="0"/>
      <w:divBdr>
        <w:top w:val="none" w:sz="0" w:space="0" w:color="auto"/>
        <w:left w:val="none" w:sz="0" w:space="0" w:color="auto"/>
        <w:bottom w:val="none" w:sz="0" w:space="0" w:color="auto"/>
        <w:right w:val="none" w:sz="0" w:space="0" w:color="auto"/>
      </w:divBdr>
    </w:div>
    <w:div w:id="1446345990">
      <w:bodyDiv w:val="1"/>
      <w:marLeft w:val="0"/>
      <w:marRight w:val="0"/>
      <w:marTop w:val="0"/>
      <w:marBottom w:val="0"/>
      <w:divBdr>
        <w:top w:val="none" w:sz="0" w:space="0" w:color="auto"/>
        <w:left w:val="none" w:sz="0" w:space="0" w:color="auto"/>
        <w:bottom w:val="none" w:sz="0" w:space="0" w:color="auto"/>
        <w:right w:val="none" w:sz="0" w:space="0" w:color="auto"/>
      </w:divBdr>
    </w:div>
    <w:div w:id="1482043766">
      <w:bodyDiv w:val="1"/>
      <w:marLeft w:val="0"/>
      <w:marRight w:val="0"/>
      <w:marTop w:val="0"/>
      <w:marBottom w:val="0"/>
      <w:divBdr>
        <w:top w:val="none" w:sz="0" w:space="0" w:color="auto"/>
        <w:left w:val="none" w:sz="0" w:space="0" w:color="auto"/>
        <w:bottom w:val="none" w:sz="0" w:space="0" w:color="auto"/>
        <w:right w:val="none" w:sz="0" w:space="0" w:color="auto"/>
      </w:divBdr>
      <w:divsChild>
        <w:div w:id="1154956464">
          <w:marLeft w:val="0"/>
          <w:marRight w:val="0"/>
          <w:marTop w:val="0"/>
          <w:marBottom w:val="0"/>
          <w:divBdr>
            <w:top w:val="none" w:sz="0" w:space="0" w:color="auto"/>
            <w:left w:val="none" w:sz="0" w:space="0" w:color="auto"/>
            <w:bottom w:val="none" w:sz="0" w:space="0" w:color="auto"/>
            <w:right w:val="none" w:sz="0" w:space="0" w:color="auto"/>
          </w:divBdr>
        </w:div>
      </w:divsChild>
    </w:div>
    <w:div w:id="1519345217">
      <w:bodyDiv w:val="1"/>
      <w:marLeft w:val="0"/>
      <w:marRight w:val="0"/>
      <w:marTop w:val="0"/>
      <w:marBottom w:val="0"/>
      <w:divBdr>
        <w:top w:val="none" w:sz="0" w:space="0" w:color="auto"/>
        <w:left w:val="none" w:sz="0" w:space="0" w:color="auto"/>
        <w:bottom w:val="none" w:sz="0" w:space="0" w:color="auto"/>
        <w:right w:val="none" w:sz="0" w:space="0" w:color="auto"/>
      </w:divBdr>
    </w:div>
    <w:div w:id="1571454668">
      <w:bodyDiv w:val="1"/>
      <w:marLeft w:val="0"/>
      <w:marRight w:val="0"/>
      <w:marTop w:val="0"/>
      <w:marBottom w:val="0"/>
      <w:divBdr>
        <w:top w:val="none" w:sz="0" w:space="0" w:color="auto"/>
        <w:left w:val="none" w:sz="0" w:space="0" w:color="auto"/>
        <w:bottom w:val="none" w:sz="0" w:space="0" w:color="auto"/>
        <w:right w:val="none" w:sz="0" w:space="0" w:color="auto"/>
      </w:divBdr>
      <w:divsChild>
        <w:div w:id="407928183">
          <w:marLeft w:val="0"/>
          <w:marRight w:val="0"/>
          <w:marTop w:val="0"/>
          <w:marBottom w:val="0"/>
          <w:divBdr>
            <w:top w:val="none" w:sz="0" w:space="0" w:color="auto"/>
            <w:left w:val="none" w:sz="0" w:space="0" w:color="auto"/>
            <w:bottom w:val="none" w:sz="0" w:space="0" w:color="auto"/>
            <w:right w:val="none" w:sz="0" w:space="0" w:color="auto"/>
          </w:divBdr>
        </w:div>
      </w:divsChild>
    </w:div>
    <w:div w:id="1620601116">
      <w:marLeft w:val="0"/>
      <w:marRight w:val="0"/>
      <w:marTop w:val="0"/>
      <w:marBottom w:val="0"/>
      <w:divBdr>
        <w:top w:val="none" w:sz="0" w:space="0" w:color="auto"/>
        <w:left w:val="none" w:sz="0" w:space="0" w:color="auto"/>
        <w:bottom w:val="none" w:sz="0" w:space="0" w:color="auto"/>
        <w:right w:val="none" w:sz="0" w:space="0" w:color="auto"/>
      </w:divBdr>
    </w:div>
    <w:div w:id="1669556214">
      <w:marLeft w:val="0"/>
      <w:marRight w:val="0"/>
      <w:marTop w:val="0"/>
      <w:marBottom w:val="0"/>
      <w:divBdr>
        <w:top w:val="none" w:sz="0" w:space="0" w:color="auto"/>
        <w:left w:val="none" w:sz="0" w:space="0" w:color="auto"/>
        <w:bottom w:val="none" w:sz="0" w:space="0" w:color="auto"/>
        <w:right w:val="none" w:sz="0" w:space="0" w:color="auto"/>
      </w:divBdr>
    </w:div>
    <w:div w:id="1677414675">
      <w:bodyDiv w:val="1"/>
      <w:marLeft w:val="0"/>
      <w:marRight w:val="0"/>
      <w:marTop w:val="0"/>
      <w:marBottom w:val="0"/>
      <w:divBdr>
        <w:top w:val="none" w:sz="0" w:space="0" w:color="auto"/>
        <w:left w:val="none" w:sz="0" w:space="0" w:color="auto"/>
        <w:bottom w:val="none" w:sz="0" w:space="0" w:color="auto"/>
        <w:right w:val="none" w:sz="0" w:space="0" w:color="auto"/>
      </w:divBdr>
    </w:div>
    <w:div w:id="1685012742">
      <w:bodyDiv w:val="1"/>
      <w:marLeft w:val="0"/>
      <w:marRight w:val="0"/>
      <w:marTop w:val="0"/>
      <w:marBottom w:val="0"/>
      <w:divBdr>
        <w:top w:val="none" w:sz="0" w:space="0" w:color="auto"/>
        <w:left w:val="none" w:sz="0" w:space="0" w:color="auto"/>
        <w:bottom w:val="none" w:sz="0" w:space="0" w:color="auto"/>
        <w:right w:val="none" w:sz="0" w:space="0" w:color="auto"/>
      </w:divBdr>
    </w:div>
    <w:div w:id="1750881081">
      <w:bodyDiv w:val="1"/>
      <w:marLeft w:val="0"/>
      <w:marRight w:val="0"/>
      <w:marTop w:val="0"/>
      <w:marBottom w:val="0"/>
      <w:divBdr>
        <w:top w:val="none" w:sz="0" w:space="0" w:color="auto"/>
        <w:left w:val="none" w:sz="0" w:space="0" w:color="auto"/>
        <w:bottom w:val="none" w:sz="0" w:space="0" w:color="auto"/>
        <w:right w:val="none" w:sz="0" w:space="0" w:color="auto"/>
      </w:divBdr>
    </w:div>
    <w:div w:id="1767849159">
      <w:bodyDiv w:val="1"/>
      <w:marLeft w:val="0"/>
      <w:marRight w:val="0"/>
      <w:marTop w:val="0"/>
      <w:marBottom w:val="0"/>
      <w:divBdr>
        <w:top w:val="none" w:sz="0" w:space="0" w:color="auto"/>
        <w:left w:val="none" w:sz="0" w:space="0" w:color="auto"/>
        <w:bottom w:val="none" w:sz="0" w:space="0" w:color="auto"/>
        <w:right w:val="none" w:sz="0" w:space="0" w:color="auto"/>
      </w:divBdr>
    </w:div>
    <w:div w:id="1775129122">
      <w:bodyDiv w:val="1"/>
      <w:marLeft w:val="0"/>
      <w:marRight w:val="0"/>
      <w:marTop w:val="0"/>
      <w:marBottom w:val="0"/>
      <w:divBdr>
        <w:top w:val="none" w:sz="0" w:space="0" w:color="auto"/>
        <w:left w:val="none" w:sz="0" w:space="0" w:color="auto"/>
        <w:bottom w:val="none" w:sz="0" w:space="0" w:color="auto"/>
        <w:right w:val="none" w:sz="0" w:space="0" w:color="auto"/>
      </w:divBdr>
    </w:div>
    <w:div w:id="1850556485">
      <w:bodyDiv w:val="1"/>
      <w:marLeft w:val="0"/>
      <w:marRight w:val="0"/>
      <w:marTop w:val="0"/>
      <w:marBottom w:val="0"/>
      <w:divBdr>
        <w:top w:val="none" w:sz="0" w:space="0" w:color="auto"/>
        <w:left w:val="none" w:sz="0" w:space="0" w:color="auto"/>
        <w:bottom w:val="none" w:sz="0" w:space="0" w:color="auto"/>
        <w:right w:val="none" w:sz="0" w:space="0" w:color="auto"/>
      </w:divBdr>
      <w:divsChild>
        <w:div w:id="2123912878">
          <w:marLeft w:val="1426"/>
          <w:marRight w:val="0"/>
          <w:marTop w:val="100"/>
          <w:marBottom w:val="0"/>
          <w:divBdr>
            <w:top w:val="none" w:sz="0" w:space="0" w:color="auto"/>
            <w:left w:val="none" w:sz="0" w:space="0" w:color="auto"/>
            <w:bottom w:val="none" w:sz="0" w:space="0" w:color="auto"/>
            <w:right w:val="none" w:sz="0" w:space="0" w:color="auto"/>
          </w:divBdr>
        </w:div>
      </w:divsChild>
    </w:div>
    <w:div w:id="1856073895">
      <w:bodyDiv w:val="1"/>
      <w:marLeft w:val="0"/>
      <w:marRight w:val="0"/>
      <w:marTop w:val="0"/>
      <w:marBottom w:val="0"/>
      <w:divBdr>
        <w:top w:val="none" w:sz="0" w:space="0" w:color="auto"/>
        <w:left w:val="none" w:sz="0" w:space="0" w:color="auto"/>
        <w:bottom w:val="none" w:sz="0" w:space="0" w:color="auto"/>
        <w:right w:val="none" w:sz="0" w:space="0" w:color="auto"/>
      </w:divBdr>
    </w:div>
    <w:div w:id="1886746107">
      <w:bodyDiv w:val="1"/>
      <w:marLeft w:val="0"/>
      <w:marRight w:val="0"/>
      <w:marTop w:val="0"/>
      <w:marBottom w:val="0"/>
      <w:divBdr>
        <w:top w:val="none" w:sz="0" w:space="0" w:color="auto"/>
        <w:left w:val="none" w:sz="0" w:space="0" w:color="auto"/>
        <w:bottom w:val="none" w:sz="0" w:space="0" w:color="auto"/>
        <w:right w:val="none" w:sz="0" w:space="0" w:color="auto"/>
      </w:divBdr>
      <w:divsChild>
        <w:div w:id="1947617335">
          <w:marLeft w:val="0"/>
          <w:marRight w:val="0"/>
          <w:marTop w:val="0"/>
          <w:marBottom w:val="0"/>
          <w:divBdr>
            <w:top w:val="none" w:sz="0" w:space="0" w:color="auto"/>
            <w:left w:val="none" w:sz="0" w:space="0" w:color="auto"/>
            <w:bottom w:val="none" w:sz="0" w:space="0" w:color="auto"/>
            <w:right w:val="none" w:sz="0" w:space="0" w:color="auto"/>
          </w:divBdr>
        </w:div>
      </w:divsChild>
    </w:div>
    <w:div w:id="1899242805">
      <w:bodyDiv w:val="1"/>
      <w:marLeft w:val="0"/>
      <w:marRight w:val="0"/>
      <w:marTop w:val="0"/>
      <w:marBottom w:val="0"/>
      <w:divBdr>
        <w:top w:val="none" w:sz="0" w:space="0" w:color="auto"/>
        <w:left w:val="none" w:sz="0" w:space="0" w:color="auto"/>
        <w:bottom w:val="none" w:sz="0" w:space="0" w:color="auto"/>
        <w:right w:val="none" w:sz="0" w:space="0" w:color="auto"/>
      </w:divBdr>
    </w:div>
    <w:div w:id="1901136863">
      <w:marLeft w:val="0"/>
      <w:marRight w:val="0"/>
      <w:marTop w:val="0"/>
      <w:marBottom w:val="0"/>
      <w:divBdr>
        <w:top w:val="none" w:sz="0" w:space="0" w:color="auto"/>
        <w:left w:val="none" w:sz="0" w:space="0" w:color="auto"/>
        <w:bottom w:val="none" w:sz="0" w:space="0" w:color="auto"/>
        <w:right w:val="none" w:sz="0" w:space="0" w:color="auto"/>
      </w:divBdr>
    </w:div>
    <w:div w:id="1902671604">
      <w:bodyDiv w:val="1"/>
      <w:marLeft w:val="0"/>
      <w:marRight w:val="0"/>
      <w:marTop w:val="0"/>
      <w:marBottom w:val="0"/>
      <w:divBdr>
        <w:top w:val="none" w:sz="0" w:space="0" w:color="auto"/>
        <w:left w:val="none" w:sz="0" w:space="0" w:color="auto"/>
        <w:bottom w:val="none" w:sz="0" w:space="0" w:color="auto"/>
        <w:right w:val="none" w:sz="0" w:space="0" w:color="auto"/>
      </w:divBdr>
    </w:div>
    <w:div w:id="1936816373">
      <w:bodyDiv w:val="1"/>
      <w:marLeft w:val="0"/>
      <w:marRight w:val="0"/>
      <w:marTop w:val="0"/>
      <w:marBottom w:val="0"/>
      <w:divBdr>
        <w:top w:val="none" w:sz="0" w:space="0" w:color="auto"/>
        <w:left w:val="none" w:sz="0" w:space="0" w:color="auto"/>
        <w:bottom w:val="none" w:sz="0" w:space="0" w:color="auto"/>
        <w:right w:val="none" w:sz="0" w:space="0" w:color="auto"/>
      </w:divBdr>
      <w:divsChild>
        <w:div w:id="1666590462">
          <w:marLeft w:val="0"/>
          <w:marRight w:val="0"/>
          <w:marTop w:val="0"/>
          <w:marBottom w:val="0"/>
          <w:divBdr>
            <w:top w:val="none" w:sz="0" w:space="0" w:color="auto"/>
            <w:left w:val="none" w:sz="0" w:space="0" w:color="auto"/>
            <w:bottom w:val="none" w:sz="0" w:space="0" w:color="auto"/>
            <w:right w:val="none" w:sz="0" w:space="0" w:color="auto"/>
          </w:divBdr>
          <w:divsChild>
            <w:div w:id="1359886723">
              <w:marLeft w:val="0"/>
              <w:marRight w:val="0"/>
              <w:marTop w:val="0"/>
              <w:marBottom w:val="0"/>
              <w:divBdr>
                <w:top w:val="none" w:sz="0" w:space="0" w:color="auto"/>
                <w:left w:val="none" w:sz="0" w:space="0" w:color="auto"/>
                <w:bottom w:val="none" w:sz="0" w:space="0" w:color="auto"/>
                <w:right w:val="none" w:sz="0" w:space="0" w:color="auto"/>
              </w:divBdr>
              <w:divsChild>
                <w:div w:id="1729263586">
                  <w:marLeft w:val="0"/>
                  <w:marRight w:val="0"/>
                  <w:marTop w:val="0"/>
                  <w:marBottom w:val="0"/>
                  <w:divBdr>
                    <w:top w:val="none" w:sz="0" w:space="0" w:color="auto"/>
                    <w:left w:val="none" w:sz="0" w:space="0" w:color="auto"/>
                    <w:bottom w:val="none" w:sz="0" w:space="0" w:color="auto"/>
                    <w:right w:val="none" w:sz="0" w:space="0" w:color="auto"/>
                  </w:divBdr>
                  <w:divsChild>
                    <w:div w:id="1805195468">
                      <w:marLeft w:val="0"/>
                      <w:marRight w:val="0"/>
                      <w:marTop w:val="0"/>
                      <w:marBottom w:val="0"/>
                      <w:divBdr>
                        <w:top w:val="none" w:sz="0" w:space="0" w:color="auto"/>
                        <w:left w:val="none" w:sz="0" w:space="0" w:color="auto"/>
                        <w:bottom w:val="none" w:sz="0" w:space="0" w:color="auto"/>
                        <w:right w:val="none" w:sz="0" w:space="0" w:color="auto"/>
                      </w:divBdr>
                      <w:divsChild>
                        <w:div w:id="591478925">
                          <w:marLeft w:val="0"/>
                          <w:marRight w:val="0"/>
                          <w:marTop w:val="0"/>
                          <w:marBottom w:val="0"/>
                          <w:divBdr>
                            <w:top w:val="none" w:sz="0" w:space="0" w:color="auto"/>
                            <w:left w:val="none" w:sz="0" w:space="0" w:color="auto"/>
                            <w:bottom w:val="none" w:sz="0" w:space="0" w:color="auto"/>
                            <w:right w:val="none" w:sz="0" w:space="0" w:color="auto"/>
                          </w:divBdr>
                          <w:divsChild>
                            <w:div w:id="162079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520875">
      <w:bodyDiv w:val="1"/>
      <w:marLeft w:val="0"/>
      <w:marRight w:val="0"/>
      <w:marTop w:val="0"/>
      <w:marBottom w:val="0"/>
      <w:divBdr>
        <w:top w:val="none" w:sz="0" w:space="0" w:color="auto"/>
        <w:left w:val="none" w:sz="0" w:space="0" w:color="auto"/>
        <w:bottom w:val="none" w:sz="0" w:space="0" w:color="auto"/>
        <w:right w:val="none" w:sz="0" w:space="0" w:color="auto"/>
      </w:divBdr>
    </w:div>
    <w:div w:id="1939606112">
      <w:marLeft w:val="0"/>
      <w:marRight w:val="0"/>
      <w:marTop w:val="0"/>
      <w:marBottom w:val="0"/>
      <w:divBdr>
        <w:top w:val="none" w:sz="0" w:space="0" w:color="auto"/>
        <w:left w:val="none" w:sz="0" w:space="0" w:color="auto"/>
        <w:bottom w:val="none" w:sz="0" w:space="0" w:color="auto"/>
        <w:right w:val="none" w:sz="0" w:space="0" w:color="auto"/>
      </w:divBdr>
    </w:div>
    <w:div w:id="1944338619">
      <w:bodyDiv w:val="1"/>
      <w:marLeft w:val="0"/>
      <w:marRight w:val="0"/>
      <w:marTop w:val="0"/>
      <w:marBottom w:val="0"/>
      <w:divBdr>
        <w:top w:val="none" w:sz="0" w:space="0" w:color="auto"/>
        <w:left w:val="none" w:sz="0" w:space="0" w:color="auto"/>
        <w:bottom w:val="none" w:sz="0" w:space="0" w:color="auto"/>
        <w:right w:val="none" w:sz="0" w:space="0" w:color="auto"/>
      </w:divBdr>
      <w:divsChild>
        <w:div w:id="916935238">
          <w:marLeft w:val="0"/>
          <w:marRight w:val="0"/>
          <w:marTop w:val="0"/>
          <w:marBottom w:val="0"/>
          <w:divBdr>
            <w:top w:val="none" w:sz="0" w:space="0" w:color="auto"/>
            <w:left w:val="none" w:sz="0" w:space="0" w:color="auto"/>
            <w:bottom w:val="none" w:sz="0" w:space="0" w:color="auto"/>
            <w:right w:val="none" w:sz="0" w:space="0" w:color="auto"/>
          </w:divBdr>
        </w:div>
      </w:divsChild>
    </w:div>
    <w:div w:id="1976324638">
      <w:bodyDiv w:val="1"/>
      <w:marLeft w:val="0"/>
      <w:marRight w:val="0"/>
      <w:marTop w:val="0"/>
      <w:marBottom w:val="0"/>
      <w:divBdr>
        <w:top w:val="none" w:sz="0" w:space="0" w:color="auto"/>
        <w:left w:val="none" w:sz="0" w:space="0" w:color="auto"/>
        <w:bottom w:val="none" w:sz="0" w:space="0" w:color="auto"/>
        <w:right w:val="none" w:sz="0" w:space="0" w:color="auto"/>
      </w:divBdr>
    </w:div>
    <w:div w:id="2010323125">
      <w:bodyDiv w:val="1"/>
      <w:marLeft w:val="0"/>
      <w:marRight w:val="0"/>
      <w:marTop w:val="0"/>
      <w:marBottom w:val="0"/>
      <w:divBdr>
        <w:top w:val="none" w:sz="0" w:space="0" w:color="auto"/>
        <w:left w:val="none" w:sz="0" w:space="0" w:color="auto"/>
        <w:bottom w:val="none" w:sz="0" w:space="0" w:color="auto"/>
        <w:right w:val="none" w:sz="0" w:space="0" w:color="auto"/>
      </w:divBdr>
      <w:divsChild>
        <w:div w:id="1314677183">
          <w:marLeft w:val="0"/>
          <w:marRight w:val="0"/>
          <w:marTop w:val="0"/>
          <w:marBottom w:val="0"/>
          <w:divBdr>
            <w:top w:val="none" w:sz="0" w:space="0" w:color="auto"/>
            <w:left w:val="none" w:sz="0" w:space="0" w:color="auto"/>
            <w:bottom w:val="none" w:sz="0" w:space="0" w:color="auto"/>
            <w:right w:val="none" w:sz="0" w:space="0" w:color="auto"/>
          </w:divBdr>
          <w:divsChild>
            <w:div w:id="1605267259">
              <w:marLeft w:val="0"/>
              <w:marRight w:val="0"/>
              <w:marTop w:val="0"/>
              <w:marBottom w:val="0"/>
              <w:divBdr>
                <w:top w:val="none" w:sz="0" w:space="0" w:color="auto"/>
                <w:left w:val="none" w:sz="0" w:space="0" w:color="auto"/>
                <w:bottom w:val="none" w:sz="0" w:space="0" w:color="auto"/>
                <w:right w:val="none" w:sz="0" w:space="0" w:color="auto"/>
              </w:divBdr>
              <w:divsChild>
                <w:div w:id="982585721">
                  <w:marLeft w:val="0"/>
                  <w:marRight w:val="0"/>
                  <w:marTop w:val="0"/>
                  <w:marBottom w:val="0"/>
                  <w:divBdr>
                    <w:top w:val="none" w:sz="0" w:space="0" w:color="auto"/>
                    <w:left w:val="none" w:sz="0" w:space="0" w:color="auto"/>
                    <w:bottom w:val="none" w:sz="0" w:space="0" w:color="auto"/>
                    <w:right w:val="none" w:sz="0" w:space="0" w:color="auto"/>
                  </w:divBdr>
                  <w:divsChild>
                    <w:div w:id="1384794385">
                      <w:marLeft w:val="0"/>
                      <w:marRight w:val="0"/>
                      <w:marTop w:val="0"/>
                      <w:marBottom w:val="0"/>
                      <w:divBdr>
                        <w:top w:val="none" w:sz="0" w:space="0" w:color="auto"/>
                        <w:left w:val="none" w:sz="0" w:space="0" w:color="auto"/>
                        <w:bottom w:val="none" w:sz="0" w:space="0" w:color="auto"/>
                        <w:right w:val="none" w:sz="0" w:space="0" w:color="auto"/>
                      </w:divBdr>
                      <w:divsChild>
                        <w:div w:id="1345744639">
                          <w:marLeft w:val="0"/>
                          <w:marRight w:val="0"/>
                          <w:marTop w:val="0"/>
                          <w:marBottom w:val="0"/>
                          <w:divBdr>
                            <w:top w:val="none" w:sz="0" w:space="0" w:color="auto"/>
                            <w:left w:val="none" w:sz="0" w:space="0" w:color="auto"/>
                            <w:bottom w:val="none" w:sz="0" w:space="0" w:color="auto"/>
                            <w:right w:val="none" w:sz="0" w:space="0" w:color="auto"/>
                          </w:divBdr>
                          <w:divsChild>
                            <w:div w:id="16930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264199">
      <w:marLeft w:val="0"/>
      <w:marRight w:val="0"/>
      <w:marTop w:val="0"/>
      <w:marBottom w:val="0"/>
      <w:divBdr>
        <w:top w:val="none" w:sz="0" w:space="0" w:color="auto"/>
        <w:left w:val="none" w:sz="0" w:space="0" w:color="auto"/>
        <w:bottom w:val="none" w:sz="0" w:space="0" w:color="auto"/>
        <w:right w:val="none" w:sz="0" w:space="0" w:color="auto"/>
      </w:divBdr>
    </w:div>
    <w:div w:id="2015380334">
      <w:bodyDiv w:val="1"/>
      <w:marLeft w:val="0"/>
      <w:marRight w:val="0"/>
      <w:marTop w:val="0"/>
      <w:marBottom w:val="0"/>
      <w:divBdr>
        <w:top w:val="none" w:sz="0" w:space="0" w:color="auto"/>
        <w:left w:val="none" w:sz="0" w:space="0" w:color="auto"/>
        <w:bottom w:val="none" w:sz="0" w:space="0" w:color="auto"/>
        <w:right w:val="none" w:sz="0" w:space="0" w:color="auto"/>
      </w:divBdr>
      <w:divsChild>
        <w:div w:id="567303868">
          <w:marLeft w:val="0"/>
          <w:marRight w:val="0"/>
          <w:marTop w:val="0"/>
          <w:marBottom w:val="0"/>
          <w:divBdr>
            <w:top w:val="none" w:sz="0" w:space="0" w:color="auto"/>
            <w:left w:val="none" w:sz="0" w:space="0" w:color="auto"/>
            <w:bottom w:val="none" w:sz="0" w:space="0" w:color="auto"/>
            <w:right w:val="none" w:sz="0" w:space="0" w:color="auto"/>
          </w:divBdr>
        </w:div>
      </w:divsChild>
    </w:div>
    <w:div w:id="2046785642">
      <w:marLeft w:val="0"/>
      <w:marRight w:val="0"/>
      <w:marTop w:val="0"/>
      <w:marBottom w:val="0"/>
      <w:divBdr>
        <w:top w:val="none" w:sz="0" w:space="0" w:color="auto"/>
        <w:left w:val="none" w:sz="0" w:space="0" w:color="auto"/>
        <w:bottom w:val="none" w:sz="0" w:space="0" w:color="auto"/>
        <w:right w:val="none" w:sz="0" w:space="0" w:color="auto"/>
      </w:divBdr>
    </w:div>
    <w:div w:id="2055152861">
      <w:marLeft w:val="0"/>
      <w:marRight w:val="0"/>
      <w:marTop w:val="0"/>
      <w:marBottom w:val="0"/>
      <w:divBdr>
        <w:top w:val="none" w:sz="0" w:space="0" w:color="auto"/>
        <w:left w:val="none" w:sz="0" w:space="0" w:color="auto"/>
        <w:bottom w:val="none" w:sz="0" w:space="0" w:color="auto"/>
        <w:right w:val="none" w:sz="0" w:space="0" w:color="auto"/>
      </w:divBdr>
    </w:div>
    <w:div w:id="2077972415">
      <w:bodyDiv w:val="1"/>
      <w:marLeft w:val="0"/>
      <w:marRight w:val="0"/>
      <w:marTop w:val="0"/>
      <w:marBottom w:val="0"/>
      <w:divBdr>
        <w:top w:val="none" w:sz="0" w:space="0" w:color="auto"/>
        <w:left w:val="none" w:sz="0" w:space="0" w:color="auto"/>
        <w:bottom w:val="none" w:sz="0" w:space="0" w:color="auto"/>
        <w:right w:val="none" w:sz="0" w:space="0" w:color="auto"/>
      </w:divBdr>
    </w:div>
    <w:div w:id="2084180724">
      <w:bodyDiv w:val="1"/>
      <w:marLeft w:val="0"/>
      <w:marRight w:val="0"/>
      <w:marTop w:val="0"/>
      <w:marBottom w:val="0"/>
      <w:divBdr>
        <w:top w:val="none" w:sz="0" w:space="0" w:color="auto"/>
        <w:left w:val="none" w:sz="0" w:space="0" w:color="auto"/>
        <w:bottom w:val="none" w:sz="0" w:space="0" w:color="auto"/>
        <w:right w:val="none" w:sz="0" w:space="0" w:color="auto"/>
      </w:divBdr>
      <w:divsChild>
        <w:div w:id="954410874">
          <w:marLeft w:val="0"/>
          <w:marRight w:val="0"/>
          <w:marTop w:val="0"/>
          <w:marBottom w:val="0"/>
          <w:divBdr>
            <w:top w:val="none" w:sz="0" w:space="0" w:color="auto"/>
            <w:left w:val="none" w:sz="0" w:space="0" w:color="auto"/>
            <w:bottom w:val="none" w:sz="0" w:space="0" w:color="auto"/>
            <w:right w:val="none" w:sz="0" w:space="0" w:color="auto"/>
          </w:divBdr>
        </w:div>
      </w:divsChild>
    </w:div>
    <w:div w:id="211400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hr/library/gigabit-connectivity-recommendation" TargetMode="External"/><Relationship Id="rId2" Type="http://schemas.openxmlformats.org/officeDocument/2006/relationships/hyperlink" Target="https://eur-lex.europa.eu/legal-content/EN/TXT/?qid=1547633333762&amp;uri=CELEX:32018L1972" TargetMode="External"/><Relationship Id="rId1" Type="http://schemas.openxmlformats.org/officeDocument/2006/relationships/hyperlink" Target="https://digital-decade-desi.digital-strategy.ec.europa.eu/datasets/desi/charts" TargetMode="External"/><Relationship Id="rId6" Type="http://schemas.openxmlformats.org/officeDocument/2006/relationships/hyperlink" Target="https://www.berec.europa.eu/system/files/2025-06/BoR%20%2825%29%2066_BEREC%20Report%20on%20copper%20switch-off_public.pdf" TargetMode="External"/><Relationship Id="rId5" Type="http://schemas.openxmlformats.org/officeDocument/2006/relationships/hyperlink" Target="https://www.ftthcouncil.eu/resources/all-publications-and-assets/2641/copper-switch-off-tracker-decommissioning-copper-in-the-european-union-norway-switzerland-and-the-united-kingdom" TargetMode="External"/><Relationship Id="rId4" Type="http://schemas.openxmlformats.org/officeDocument/2006/relationships/hyperlink" Target="https://digital-strategy.ec.europa.eu/en/library/proposal-regulation-digital-networks-act-d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53C554-BA01-49C3-92BC-5C7530320AEE}">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D06513E61F7742953E5F36630C0129" ma:contentTypeVersion="1" ma:contentTypeDescription="Create a new document." ma:contentTypeScope="" ma:versionID="fccb79ad1e30c92e09224b4e854748e9">
  <xsd:schema xmlns:xsd="http://www.w3.org/2001/XMLSchema" xmlns:xs="http://www.w3.org/2001/XMLSchema" xmlns:p="http://schemas.microsoft.com/office/2006/metadata/properties" xmlns:ns2="f45d8b5b-b624-41fb-afb8-da03212d0f19" targetNamespace="http://schemas.microsoft.com/office/2006/metadata/properties" ma:root="true" ma:fieldsID="3d3acb70d8d5d7ae7aad90d7712f8723" ns2:_="">
    <xsd:import namespace="f45d8b5b-b624-41fb-afb8-da03212d0f1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d8b5b-b624-41fb-afb8-da03212d0f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26B5146-C8EE-4559-8BB0-41CDBDBA048F}">
  <ds:schemaRefs>
    <ds:schemaRef ds:uri="http://schemas.microsoft.com/sharepoint/v3/contenttype/forms"/>
  </ds:schemaRefs>
</ds:datastoreItem>
</file>

<file path=customXml/itemProps2.xml><?xml version="1.0" encoding="utf-8"?>
<ds:datastoreItem xmlns:ds="http://schemas.openxmlformats.org/officeDocument/2006/customXml" ds:itemID="{FFAF2B88-3146-4823-BBD9-DA1870EAD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d8b5b-b624-41fb-afb8-da03212d0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4D21B-BEA5-4377-A846-4A32C0E5F2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33A14C-B587-4564-A921-AC94750B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7990</Words>
  <Characters>45547</Characters>
  <Application>Microsoft Office Word</Application>
  <DocSecurity>0</DocSecurity>
  <Lines>379</Lines>
  <Paragraphs>106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Manager/>
  <Company/>
  <LinksUpToDate>false</LinksUpToDate>
  <CharactersWithSpaces>53431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Srećko Mimica</dc:creator>
  <cp:keywords/>
  <cp:lastModifiedBy>Srećko Mimica</cp:lastModifiedBy>
  <cp:revision>2</cp:revision>
  <dcterms:created xsi:type="dcterms:W3CDTF">2026-09-11T07:23:00Z</dcterms:created>
  <dcterms:modified xsi:type="dcterms:W3CDTF">2026-09-11T07:23:00Z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0x0101004FD06513E61F7742953E5F36630C0129</vt:lpwstr>
  </property>
</Properties>
</file>